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2670810</wp:posOffset>
            </wp:positionH>
            <wp:positionV relativeFrom="paragraph">
              <wp:posOffset>150495</wp:posOffset>
            </wp:positionV>
            <wp:extent cx="180022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00225" cy="8890"/>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SCHEDULE TO</w:t>
      </w:r>
    </w:p>
    <w:p>
      <w:pPr>
        <w:spacing w:after="0" w:line="13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TENDER OFFER STATEMENT UNDER SECTION 14(D)(1)</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OR 13(E)(1) OF THE SECURITIES EXCHANGE ACT OF 1934</w:t>
      </w:r>
    </w:p>
    <w:p>
      <w:pPr>
        <w:jc w:val="center"/>
        <w:spacing w:after="0"/>
        <w:rPr>
          <w:sz w:val="20"/>
          <w:szCs w:val="20"/>
          <w:color w:val="auto"/>
        </w:rPr>
      </w:pPr>
      <w:r>
        <w:rPr>
          <w:rFonts w:ascii="Arial" w:cs="Arial" w:eastAsia="Arial" w:hAnsi="Arial"/>
          <w:sz w:val="18"/>
          <w:szCs w:val="18"/>
          <w:b w:val="1"/>
          <w:bCs w:val="1"/>
          <w:color w:val="auto"/>
        </w:rPr>
        <w:t>(Amendment No. 5)</w:t>
      </w:r>
    </w:p>
    <w:p>
      <w:pPr>
        <w:spacing w:after="0" w:line="8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FORTY SEVEN, INC.</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(Name of Subject Company (Issuer))</w:t>
      </w:r>
    </w:p>
    <w:p>
      <w:pPr>
        <w:spacing w:after="0" w:line="8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TORO MERGER SUB, INC.</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 wholly-owned subsidiary of</w:t>
      </w:r>
    </w:p>
    <w:p>
      <w:pPr>
        <w:spacing w:after="0" w:line="8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GILEAD SCIENCES, INC.</w:t>
      </w:r>
    </w:p>
    <w:p>
      <w:pPr>
        <w:spacing w:after="0" w:line="39" w:lineRule="exact"/>
        <w:rPr>
          <w:sz w:val="24"/>
          <w:szCs w:val="24"/>
          <w:color w:val="auto"/>
        </w:rPr>
      </w:pPr>
    </w:p>
    <w:p>
      <w:pPr>
        <w:ind w:left="4320"/>
        <w:spacing w:after="0"/>
        <w:rPr>
          <w:sz w:val="20"/>
          <w:szCs w:val="20"/>
          <w:color w:val="auto"/>
        </w:rPr>
      </w:pPr>
      <w:r>
        <w:rPr>
          <w:rFonts w:ascii="Arial" w:cs="Arial" w:eastAsia="Arial" w:hAnsi="Arial"/>
          <w:sz w:val="18"/>
          <w:szCs w:val="18"/>
          <w:color w:val="auto"/>
        </w:rPr>
        <w:t>(Names of Filing Persons (Offeror))</w:t>
      </w:r>
    </w:p>
    <w:p>
      <w:pPr>
        <w:spacing w:after="0" w:line="111" w:lineRule="exact"/>
        <w:rPr>
          <w:sz w:val="24"/>
          <w:szCs w:val="24"/>
          <w:color w:val="auto"/>
        </w:rPr>
      </w:pPr>
    </w:p>
    <w:p>
      <w:pPr>
        <w:ind w:left="3880"/>
        <w:spacing w:after="0"/>
        <w:rPr>
          <w:sz w:val="20"/>
          <w:szCs w:val="20"/>
          <w:color w:val="auto"/>
        </w:rPr>
      </w:pPr>
      <w:r>
        <w:rPr>
          <w:rFonts w:ascii="Arial" w:cs="Arial" w:eastAsia="Arial" w:hAnsi="Arial"/>
          <w:sz w:val="18"/>
          <w:szCs w:val="18"/>
          <w:b w:val="1"/>
          <w:bCs w:val="1"/>
          <w:color w:val="auto"/>
        </w:rPr>
        <w:t>Common Stock, Par Value $0.0001 Per Share</w:t>
      </w:r>
    </w:p>
    <w:p>
      <w:pPr>
        <w:spacing w:after="0" w:line="27" w:lineRule="exact"/>
        <w:rPr>
          <w:sz w:val="24"/>
          <w:szCs w:val="24"/>
          <w:color w:val="auto"/>
        </w:rPr>
      </w:pPr>
    </w:p>
    <w:p>
      <w:pPr>
        <w:ind w:left="4600"/>
        <w:spacing w:after="0"/>
        <w:rPr>
          <w:sz w:val="20"/>
          <w:szCs w:val="20"/>
          <w:color w:val="auto"/>
        </w:rPr>
      </w:pPr>
      <w:r>
        <w:rPr>
          <w:rFonts w:ascii="Arial" w:cs="Arial" w:eastAsia="Arial" w:hAnsi="Arial"/>
          <w:sz w:val="18"/>
          <w:szCs w:val="18"/>
          <w:color w:val="auto"/>
        </w:rPr>
        <w:t>(Title of Class of Securities)</w:t>
      </w:r>
    </w:p>
    <w:p>
      <w:pPr>
        <w:spacing w:after="0" w:line="112" w:lineRule="exact"/>
        <w:rPr>
          <w:sz w:val="24"/>
          <w:szCs w:val="24"/>
          <w:color w:val="auto"/>
        </w:rPr>
      </w:pPr>
    </w:p>
    <w:p>
      <w:pPr>
        <w:ind w:left="5200"/>
        <w:spacing w:after="0"/>
        <w:rPr>
          <w:sz w:val="20"/>
          <w:szCs w:val="20"/>
          <w:color w:val="auto"/>
        </w:rPr>
      </w:pPr>
      <w:r>
        <w:rPr>
          <w:rFonts w:ascii="Arial" w:cs="Arial" w:eastAsia="Arial" w:hAnsi="Arial"/>
          <w:sz w:val="18"/>
          <w:szCs w:val="18"/>
          <w:b w:val="1"/>
          <w:bCs w:val="1"/>
          <w:color w:val="auto"/>
        </w:rPr>
        <w:t>34983P104</w:t>
      </w:r>
    </w:p>
    <w:p>
      <w:pPr>
        <w:spacing w:after="0" w:line="27" w:lineRule="exact"/>
        <w:rPr>
          <w:sz w:val="24"/>
          <w:szCs w:val="24"/>
          <w:color w:val="auto"/>
        </w:rPr>
      </w:pPr>
    </w:p>
    <w:p>
      <w:pPr>
        <w:ind w:left="4240"/>
        <w:spacing w:after="0"/>
        <w:rPr>
          <w:sz w:val="20"/>
          <w:szCs w:val="20"/>
          <w:color w:val="auto"/>
        </w:rPr>
      </w:pPr>
      <w:r>
        <w:rPr>
          <w:rFonts w:ascii="Arial" w:cs="Arial" w:eastAsia="Arial" w:hAnsi="Arial"/>
          <w:sz w:val="18"/>
          <w:szCs w:val="18"/>
          <w:color w:val="auto"/>
        </w:rPr>
        <w:t>(Cusip Number of Class of Securities)</w:t>
      </w:r>
    </w:p>
    <w:p>
      <w:pPr>
        <w:spacing w:after="0" w:line="112" w:lineRule="exact"/>
        <w:rPr>
          <w:sz w:val="24"/>
          <w:szCs w:val="24"/>
          <w:color w:val="auto"/>
        </w:rPr>
      </w:pPr>
    </w:p>
    <w:p>
      <w:pPr>
        <w:ind w:left="4760"/>
        <w:spacing w:after="0"/>
        <w:rPr>
          <w:sz w:val="20"/>
          <w:szCs w:val="20"/>
          <w:color w:val="auto"/>
        </w:rPr>
      </w:pPr>
      <w:r>
        <w:rPr>
          <w:rFonts w:ascii="Arial" w:cs="Arial" w:eastAsia="Arial" w:hAnsi="Arial"/>
          <w:sz w:val="18"/>
          <w:szCs w:val="18"/>
          <w:b w:val="1"/>
          <w:bCs w:val="1"/>
          <w:color w:val="auto"/>
        </w:rPr>
        <w:t>Brett A. Pletcher, Esq.</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Executive Vice President, Corporate Affairs, General Counsel and Corporate Secretary</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Gilead Sciences, Inc.</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333 Lakeside Drive</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Foster City, CA 94404</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650-574-3000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(Name, Address and Telephone Number of Person Authorized to Receive Notices and Communications on Behalf of Filing Persons)</w:t>
      </w:r>
    </w:p>
    <w:p>
      <w:pPr>
        <w:spacing w:after="0" w:line="116"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860" w:type="dxa"/>
            <w:vAlign w:val="bottom"/>
          </w:tcPr>
          <w:p>
            <w:pPr>
              <w:spacing w:after="0"/>
              <w:rPr>
                <w:sz w:val="20"/>
                <w:szCs w:val="20"/>
                <w:color w:val="auto"/>
              </w:rPr>
            </w:pPr>
          </w:p>
        </w:tc>
        <w:tc>
          <w:tcPr>
            <w:tcW w:w="6380" w:type="dxa"/>
            <w:vAlign w:val="bottom"/>
            <w:gridSpan w:val="3"/>
          </w:tcPr>
          <w:p>
            <w:pPr>
              <w:jc w:val="center"/>
              <w:ind w:right="4753"/>
              <w:spacing w:after="0"/>
              <w:rPr>
                <w:sz w:val="20"/>
                <w:szCs w:val="20"/>
                <w:color w:val="auto"/>
              </w:rPr>
            </w:pPr>
            <w:r>
              <w:rPr>
                <w:rFonts w:ascii="Arial" w:cs="Arial" w:eastAsia="Arial" w:hAnsi="Arial"/>
                <w:sz w:val="18"/>
                <w:szCs w:val="18"/>
                <w:color w:val="auto"/>
                <w:w w:val="91"/>
              </w:rPr>
              <w:t>Copies to:</w:t>
            </w:r>
          </w:p>
        </w:tc>
      </w:tr>
      <w:tr>
        <w:trPr>
          <w:trHeight w:val="319"/>
        </w:trPr>
        <w:tc>
          <w:tcPr>
            <w:tcW w:w="4860" w:type="dxa"/>
            <w:vAlign w:val="bottom"/>
          </w:tcPr>
          <w:p>
            <w:pPr>
              <w:jc w:val="center"/>
              <w:ind w:left="572"/>
              <w:spacing w:after="0"/>
              <w:rPr>
                <w:sz w:val="20"/>
                <w:szCs w:val="20"/>
                <w:color w:val="auto"/>
              </w:rPr>
            </w:pPr>
            <w:r>
              <w:rPr>
                <w:rFonts w:ascii="Arial" w:cs="Arial" w:eastAsia="Arial" w:hAnsi="Arial"/>
                <w:sz w:val="18"/>
                <w:szCs w:val="18"/>
                <w:b w:val="1"/>
                <w:bCs w:val="1"/>
                <w:color w:val="auto"/>
                <w:w w:val="88"/>
              </w:rPr>
              <w:t>Stephen F. Arcano</w:t>
            </w: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500" w:type="dxa"/>
            <w:vAlign w:val="bottom"/>
          </w:tcPr>
          <w:p>
            <w:pPr>
              <w:jc w:val="center"/>
              <w:spacing w:after="0"/>
              <w:rPr>
                <w:sz w:val="20"/>
                <w:szCs w:val="20"/>
                <w:color w:val="auto"/>
              </w:rPr>
            </w:pPr>
            <w:r>
              <w:rPr>
                <w:rFonts w:ascii="Arial" w:cs="Arial" w:eastAsia="Arial" w:hAnsi="Arial"/>
                <w:sz w:val="18"/>
                <w:szCs w:val="18"/>
                <w:b w:val="1"/>
                <w:bCs w:val="1"/>
                <w:color w:val="auto"/>
                <w:w w:val="90"/>
              </w:rPr>
              <w:t>Graham Robinson</w:t>
            </w:r>
          </w:p>
        </w:tc>
      </w:tr>
      <w:tr>
        <w:trPr>
          <w:trHeight w:val="216"/>
        </w:trPr>
        <w:tc>
          <w:tcPr>
            <w:tcW w:w="4860" w:type="dxa"/>
            <w:vAlign w:val="bottom"/>
          </w:tcPr>
          <w:p>
            <w:pPr>
              <w:jc w:val="center"/>
              <w:ind w:left="592"/>
              <w:spacing w:after="0"/>
              <w:rPr>
                <w:sz w:val="20"/>
                <w:szCs w:val="20"/>
                <w:color w:val="auto"/>
              </w:rPr>
            </w:pPr>
            <w:r>
              <w:rPr>
                <w:rFonts w:ascii="Arial" w:cs="Arial" w:eastAsia="Arial" w:hAnsi="Arial"/>
                <w:sz w:val="18"/>
                <w:szCs w:val="18"/>
                <w:b w:val="1"/>
                <w:bCs w:val="1"/>
                <w:color w:val="auto"/>
                <w:w w:val="92"/>
              </w:rPr>
              <w:t>Skadden, Arps, Slate, Meagher &amp; Flom LLP</w:t>
            </w: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500" w:type="dxa"/>
            <w:vAlign w:val="bottom"/>
          </w:tcPr>
          <w:p>
            <w:pPr>
              <w:jc w:val="center"/>
              <w:spacing w:after="0"/>
              <w:rPr>
                <w:sz w:val="20"/>
                <w:szCs w:val="20"/>
                <w:color w:val="auto"/>
              </w:rPr>
            </w:pPr>
            <w:r>
              <w:rPr>
                <w:rFonts w:ascii="Arial" w:cs="Arial" w:eastAsia="Arial" w:hAnsi="Arial"/>
                <w:sz w:val="18"/>
                <w:szCs w:val="18"/>
                <w:b w:val="1"/>
                <w:bCs w:val="1"/>
                <w:color w:val="auto"/>
                <w:w w:val="92"/>
              </w:rPr>
              <w:t>Skadden, Arps, Slate, Meagher &amp; Flom LLP</w:t>
            </w:r>
          </w:p>
        </w:tc>
      </w:tr>
      <w:tr>
        <w:trPr>
          <w:trHeight w:val="216"/>
        </w:trPr>
        <w:tc>
          <w:tcPr>
            <w:tcW w:w="4860" w:type="dxa"/>
            <w:vAlign w:val="bottom"/>
          </w:tcPr>
          <w:p>
            <w:pPr>
              <w:jc w:val="center"/>
              <w:ind w:left="572"/>
              <w:spacing w:after="0"/>
              <w:rPr>
                <w:sz w:val="20"/>
                <w:szCs w:val="20"/>
                <w:color w:val="auto"/>
              </w:rPr>
            </w:pPr>
            <w:r>
              <w:rPr>
                <w:rFonts w:ascii="Arial" w:cs="Arial" w:eastAsia="Arial" w:hAnsi="Arial"/>
                <w:sz w:val="18"/>
                <w:szCs w:val="18"/>
                <w:b w:val="1"/>
                <w:bCs w:val="1"/>
                <w:color w:val="auto"/>
                <w:w w:val="92"/>
              </w:rPr>
              <w:t>One Manhattan West</w:t>
            </w: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500" w:type="dxa"/>
            <w:vAlign w:val="bottom"/>
          </w:tcPr>
          <w:p>
            <w:pPr>
              <w:jc w:val="center"/>
              <w:spacing w:after="0"/>
              <w:rPr>
                <w:sz w:val="20"/>
                <w:szCs w:val="20"/>
                <w:color w:val="auto"/>
              </w:rPr>
            </w:pPr>
            <w:r>
              <w:rPr>
                <w:rFonts w:ascii="Arial" w:cs="Arial" w:eastAsia="Arial" w:hAnsi="Arial"/>
                <w:sz w:val="18"/>
                <w:szCs w:val="18"/>
                <w:b w:val="1"/>
                <w:bCs w:val="1"/>
                <w:color w:val="auto"/>
                <w:w w:val="89"/>
              </w:rPr>
              <w:t>500 Boylston Street</w:t>
            </w:r>
          </w:p>
        </w:tc>
      </w:tr>
      <w:tr>
        <w:trPr>
          <w:trHeight w:val="216"/>
        </w:trPr>
        <w:tc>
          <w:tcPr>
            <w:tcW w:w="4860" w:type="dxa"/>
            <w:vAlign w:val="bottom"/>
          </w:tcPr>
          <w:p>
            <w:pPr>
              <w:jc w:val="center"/>
              <w:ind w:left="572"/>
              <w:spacing w:after="0"/>
              <w:rPr>
                <w:sz w:val="20"/>
                <w:szCs w:val="20"/>
                <w:color w:val="auto"/>
              </w:rPr>
            </w:pPr>
            <w:r>
              <w:rPr>
                <w:rFonts w:ascii="Arial" w:cs="Arial" w:eastAsia="Arial" w:hAnsi="Arial"/>
                <w:sz w:val="18"/>
                <w:szCs w:val="18"/>
                <w:b w:val="1"/>
                <w:bCs w:val="1"/>
                <w:color w:val="auto"/>
                <w:w w:val="92"/>
              </w:rPr>
              <w:t>New York, NY 10001</w:t>
            </w: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500" w:type="dxa"/>
            <w:vAlign w:val="bottom"/>
          </w:tcPr>
          <w:p>
            <w:pPr>
              <w:jc w:val="center"/>
              <w:spacing w:after="0"/>
              <w:rPr>
                <w:sz w:val="20"/>
                <w:szCs w:val="20"/>
                <w:color w:val="auto"/>
              </w:rPr>
            </w:pPr>
            <w:r>
              <w:rPr>
                <w:rFonts w:ascii="Arial" w:cs="Arial" w:eastAsia="Arial" w:hAnsi="Arial"/>
                <w:sz w:val="18"/>
                <w:szCs w:val="18"/>
                <w:b w:val="1"/>
                <w:bCs w:val="1"/>
                <w:color w:val="auto"/>
                <w:w w:val="90"/>
              </w:rPr>
              <w:t>Boston, MA 02116</w:t>
            </w:r>
          </w:p>
        </w:tc>
      </w:tr>
      <w:tr>
        <w:trPr>
          <w:trHeight w:val="234"/>
        </w:trPr>
        <w:tc>
          <w:tcPr>
            <w:tcW w:w="4860" w:type="dxa"/>
            <w:vAlign w:val="bottom"/>
          </w:tcPr>
          <w:p>
            <w:pPr>
              <w:jc w:val="right"/>
              <w:ind w:right="1452"/>
              <w:spacing w:after="0"/>
              <w:rPr>
                <w:sz w:val="20"/>
                <w:szCs w:val="20"/>
                <w:color w:val="auto"/>
              </w:rPr>
            </w:pPr>
            <w:r>
              <w:rPr>
                <w:rFonts w:ascii="Arial" w:cs="Arial" w:eastAsia="Arial" w:hAnsi="Arial"/>
                <w:sz w:val="18"/>
                <w:szCs w:val="18"/>
                <w:b w:val="1"/>
                <w:bCs w:val="1"/>
                <w:color w:val="auto"/>
              </w:rPr>
              <w:t>(212) 735-3542</w:t>
            </w:r>
          </w:p>
        </w:tc>
        <w:tc>
          <w:tcPr>
            <w:tcW w:w="6380" w:type="dxa"/>
            <w:vAlign w:val="bottom"/>
            <w:gridSpan w:val="3"/>
          </w:tcPr>
          <w:p>
            <w:pPr>
              <w:jc w:val="center"/>
              <w:ind w:left="810"/>
              <w:spacing w:after="0"/>
              <w:rPr>
                <w:sz w:val="20"/>
                <w:szCs w:val="20"/>
                <w:color w:val="auto"/>
              </w:rPr>
            </w:pPr>
            <w:r>
              <w:rPr>
                <w:rFonts w:ascii="Arial" w:cs="Arial" w:eastAsia="Arial" w:hAnsi="Arial"/>
                <w:sz w:val="18"/>
                <w:szCs w:val="18"/>
                <w:b w:val="1"/>
                <w:bCs w:val="1"/>
                <w:color w:val="auto"/>
                <w:w w:val="90"/>
              </w:rPr>
              <w:t>(617) 573-4850</w:t>
            </w:r>
          </w:p>
        </w:tc>
      </w:tr>
      <w:tr>
        <w:trPr>
          <w:trHeight w:val="338"/>
        </w:trPr>
        <w:tc>
          <w:tcPr>
            <w:tcW w:w="11240" w:type="dxa"/>
            <w:vAlign w:val="bottom"/>
            <w:gridSpan w:val="4"/>
          </w:tcPr>
          <w:p>
            <w:pPr>
              <w:jc w:val="center"/>
              <w:spacing w:after="0"/>
              <w:rPr>
                <w:sz w:val="20"/>
                <w:szCs w:val="20"/>
                <w:color w:val="auto"/>
              </w:rPr>
            </w:pPr>
            <w:r>
              <w:rPr>
                <w:rFonts w:ascii="Arial" w:cs="Arial" w:eastAsia="Arial" w:hAnsi="Arial"/>
                <w:sz w:val="18"/>
                <w:szCs w:val="18"/>
                <w:b w:val="1"/>
                <w:bCs w:val="1"/>
                <w:color w:val="auto"/>
              </w:rPr>
              <w:t>CALCULATION OF FILING FEE</w:t>
            </w:r>
          </w:p>
        </w:tc>
      </w:tr>
      <w:tr>
        <w:trPr>
          <w:trHeight w:val="270"/>
        </w:trPr>
        <w:tc>
          <w:tcPr>
            <w:tcW w:w="4860" w:type="dxa"/>
            <w:vAlign w:val="bottom"/>
            <w:tcBorders>
              <w:bottom w:val="single" w:sz="8" w:color="auto"/>
            </w:tcBorders>
          </w:tcPr>
          <w:p>
            <w:pPr>
              <w:jc w:val="center"/>
              <w:ind w:left="572"/>
              <w:spacing w:after="0"/>
              <w:rPr>
                <w:sz w:val="20"/>
                <w:szCs w:val="20"/>
                <w:color w:val="auto"/>
              </w:rPr>
            </w:pPr>
            <w:r>
              <w:rPr>
                <w:rFonts w:ascii="Arial" w:cs="Arial" w:eastAsia="Arial" w:hAnsi="Arial"/>
                <w:sz w:val="14"/>
                <w:szCs w:val="14"/>
                <w:b w:val="1"/>
                <w:bCs w:val="1"/>
                <w:color w:val="auto"/>
                <w:w w:val="94"/>
              </w:rPr>
              <w:t>Transaction Valuation*</w:t>
            </w:r>
          </w:p>
        </w:tc>
        <w:tc>
          <w:tcPr>
            <w:tcW w:w="660" w:type="dxa"/>
            <w:vAlign w:val="bottom"/>
            <w:tcBorders>
              <w:bottom w:val="single" w:sz="8" w:color="auto"/>
            </w:tcBorders>
          </w:tcPr>
          <w:p>
            <w:pPr>
              <w:spacing w:after="0"/>
              <w:rPr>
                <w:sz w:val="23"/>
                <w:szCs w:val="23"/>
                <w:color w:val="auto"/>
              </w:rPr>
            </w:pPr>
          </w:p>
        </w:tc>
        <w:tc>
          <w:tcPr>
            <w:tcW w:w="220" w:type="dxa"/>
            <w:vAlign w:val="bottom"/>
          </w:tcPr>
          <w:p>
            <w:pPr>
              <w:spacing w:after="0"/>
              <w:rPr>
                <w:sz w:val="23"/>
                <w:szCs w:val="23"/>
                <w:color w:val="auto"/>
              </w:rPr>
            </w:pPr>
          </w:p>
        </w:tc>
        <w:tc>
          <w:tcPr>
            <w:tcW w:w="5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Amount of Filing Fee**</w:t>
            </w:r>
          </w:p>
        </w:tc>
      </w:tr>
      <w:tr>
        <w:trPr>
          <w:trHeight w:val="224"/>
        </w:trPr>
        <w:tc>
          <w:tcPr>
            <w:tcW w:w="4860" w:type="dxa"/>
            <w:vAlign w:val="bottom"/>
          </w:tcPr>
          <w:p>
            <w:pPr>
              <w:jc w:val="right"/>
              <w:ind w:right="1312"/>
              <w:spacing w:after="0"/>
              <w:rPr>
                <w:sz w:val="20"/>
                <w:szCs w:val="20"/>
                <w:color w:val="auto"/>
              </w:rPr>
            </w:pPr>
            <w:r>
              <w:rPr>
                <w:rFonts w:ascii="Arial" w:cs="Arial" w:eastAsia="Arial" w:hAnsi="Arial"/>
                <w:sz w:val="18"/>
                <w:szCs w:val="18"/>
                <w:color w:val="auto"/>
              </w:rPr>
              <w:t>$ 4,949,381,117.36</w:t>
            </w:r>
          </w:p>
        </w:tc>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500" w:type="dxa"/>
            <w:vAlign w:val="bottom"/>
          </w:tcPr>
          <w:p>
            <w:pPr>
              <w:jc w:val="center"/>
              <w:spacing w:after="0"/>
              <w:rPr>
                <w:sz w:val="20"/>
                <w:szCs w:val="20"/>
                <w:color w:val="auto"/>
              </w:rPr>
            </w:pPr>
            <w:r>
              <w:rPr>
                <w:rFonts w:ascii="Arial" w:cs="Arial" w:eastAsia="Arial" w:hAnsi="Arial"/>
                <w:sz w:val="18"/>
                <w:szCs w:val="18"/>
                <w:color w:val="auto"/>
                <w:w w:val="89"/>
              </w:rPr>
              <w:t>$ 642,429.67</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136525</wp:posOffset>
            </wp:positionV>
            <wp:extent cx="180022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00225" cy="8255"/>
                    </a:xfrm>
                    <a:prstGeom prst="rect">
                      <a:avLst/>
                    </a:prstGeom>
                    <a:noFill/>
                  </pic:spPr>
                </pic:pic>
              </a:graphicData>
            </a:graphic>
          </wp:anchor>
        </w:drawing>
      </w:r>
    </w:p>
    <w:p>
      <w:pPr>
        <w:spacing w:after="0" w:line="302" w:lineRule="exact"/>
        <w:rPr>
          <w:sz w:val="24"/>
          <w:szCs w:val="24"/>
          <w:color w:val="auto"/>
        </w:rPr>
      </w:pPr>
    </w:p>
    <w:p>
      <w:pPr>
        <w:ind w:left="340" w:right="180" w:hanging="332"/>
        <w:spacing w:after="0" w:line="255" w:lineRule="auto"/>
        <w:tabs>
          <w:tab w:leader="none" w:pos="335" w:val="left"/>
        </w:tabs>
        <w:numPr>
          <w:ilvl w:val="0"/>
          <w:numId w:val="1"/>
        </w:numPr>
        <w:rPr>
          <w:rFonts w:ascii="Arial" w:cs="Arial" w:eastAsia="Arial" w:hAnsi="Arial"/>
          <w:sz w:val="18"/>
          <w:szCs w:val="18"/>
          <w:color w:val="auto"/>
        </w:rPr>
      </w:pPr>
      <w:r>
        <w:rPr>
          <w:rFonts w:ascii="Arial" w:cs="Arial" w:eastAsia="Arial" w:hAnsi="Arial"/>
          <w:sz w:val="18"/>
          <w:szCs w:val="18"/>
          <w:color w:val="auto"/>
        </w:rPr>
        <w:t>Estimated for purposes of calculating the filing fee only. The transaction valuation was calculated as the sum of (i) 48,151,481 outstanding shares of common stock, par value $0.0001 per share (the “Shares”), of Forty Seven, Inc. (“Forty Seven”) multiplied by $95.50, (ii) 1,341,064 Shares issuable pursuant to outstanding stock options that have vested (or are anticipated to vest prior to the completion of the transaction) multiplied by $95.50, and (iii) 2,924,066 Shares issuable pursuant to outstanding unvested stock options multiplied by $76.21 (which is $95.50 minus the weighted average exercise price for such options of $19.29 per share). The calculation of the filing fee is based on information provided by Forty Seven as of February 29, 2020.</w:t>
      </w:r>
    </w:p>
    <w:p>
      <w:pPr>
        <w:spacing w:after="0" w:line="98" w:lineRule="exact"/>
        <w:rPr>
          <w:sz w:val="24"/>
          <w:szCs w:val="24"/>
          <w:color w:val="auto"/>
        </w:rPr>
      </w:pPr>
    </w:p>
    <w:p>
      <w:pPr>
        <w:ind w:left="340" w:right="180" w:hanging="332"/>
        <w:spacing w:after="0" w:line="277" w:lineRule="auto"/>
        <w:tabs>
          <w:tab w:leader="none" w:pos="331"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filing fee was calculated in accordance with Rule 0-11 under the Securities Exchange Act of 1934, as amended, and Fee Rate Advisory No. 1 for Fiscal Year 2020, issued August 23, 2019, by multiplying the transaction value by 0.0001298.</w:t>
      </w:r>
    </w:p>
    <w:p>
      <w:pPr>
        <w:spacing w:after="0" w:line="76" w:lineRule="exact"/>
        <w:rPr>
          <w:sz w:val="24"/>
          <w:szCs w:val="24"/>
          <w:color w:val="auto"/>
        </w:rPr>
      </w:pPr>
    </w:p>
    <w:p>
      <w:pPr>
        <w:ind w:left="340" w:right="600" w:hanging="332"/>
        <w:spacing w:after="0" w:line="277" w:lineRule="auto"/>
        <w:tabs>
          <w:tab w:leader="none" w:pos="241" w:val="left"/>
        </w:tabs>
        <w:numPr>
          <w:ilvl w:val="0"/>
          <w:numId w:val="3"/>
        </w:numPr>
        <w:rPr>
          <w:rFonts w:ascii="Arial" w:cs="Arial" w:eastAsia="Arial" w:hAnsi="Arial"/>
          <w:sz w:val="18"/>
          <w:szCs w:val="18"/>
          <w:color w:val="auto"/>
        </w:rPr>
      </w:pPr>
      <w:r>
        <w:rPr>
          <w:rFonts w:ascii="Arial" w:cs="Arial" w:eastAsia="Arial" w:hAnsi="Arial"/>
          <w:sz w:val="18"/>
          <w:szCs w:val="18"/>
          <w:color w:val="auto"/>
        </w:rPr>
        <w:t>Check box if any part of the fee is offset as provided by Rule 0-11(a)(2) and identify the filing with which the offsetting fee was previously paid. Identify the previous filing by registration statement number, or the Form or Schedule and the date of its filing.</w:t>
      </w:r>
    </w:p>
    <w:p>
      <w:pPr>
        <w:sectPr>
          <w:pgSz w:w="11900" w:h="16838" w:orient="portrait"/>
          <w:cols w:equalWidth="0" w:num="1">
            <w:col w:w="11240"/>
          </w:cols>
          <w:pgMar w:left="320" w:top="449" w:right="339" w:bottom="9" w:gutter="0" w:footer="0" w:header="0"/>
        </w:sectPr>
      </w:pPr>
    </w:p>
    <w:p>
      <w:pPr>
        <w:spacing w:after="0" w:line="76" w:lineRule="exact"/>
        <w:rPr>
          <w:sz w:val="24"/>
          <w:szCs w:val="24"/>
          <w:color w:val="auto"/>
        </w:rPr>
      </w:pPr>
    </w:p>
    <w:p>
      <w:pPr>
        <w:spacing w:after="0"/>
        <w:rPr>
          <w:sz w:val="20"/>
          <w:szCs w:val="20"/>
          <w:color w:val="auto"/>
        </w:rPr>
      </w:pPr>
      <w:r>
        <w:rPr>
          <w:rFonts w:ascii="Arial" w:cs="Arial" w:eastAsia="Arial" w:hAnsi="Arial"/>
          <w:sz w:val="17"/>
          <w:szCs w:val="17"/>
          <w:color w:val="auto"/>
        </w:rPr>
        <w:t>Amount Previously Paid:</w:t>
      </w:r>
    </w:p>
    <w:p>
      <w:pPr>
        <w:spacing w:after="0" w:line="35" w:lineRule="exact"/>
        <w:rPr>
          <w:sz w:val="24"/>
          <w:szCs w:val="24"/>
          <w:color w:val="auto"/>
        </w:rPr>
      </w:pPr>
    </w:p>
    <w:p>
      <w:pPr>
        <w:spacing w:after="0"/>
        <w:rPr>
          <w:sz w:val="20"/>
          <w:szCs w:val="20"/>
          <w:color w:val="auto"/>
        </w:rPr>
      </w:pPr>
      <w:r>
        <w:rPr>
          <w:rFonts w:ascii="Arial" w:cs="Arial" w:eastAsia="Arial" w:hAnsi="Arial"/>
          <w:sz w:val="16"/>
          <w:szCs w:val="16"/>
          <w:color w:val="auto"/>
        </w:rPr>
        <w:t>Form or Registration No.:</w:t>
      </w:r>
    </w:p>
    <w:p>
      <w:pPr>
        <w:spacing w:after="0" w:line="20" w:lineRule="exact"/>
        <w:rPr>
          <w:sz w:val="24"/>
          <w:szCs w:val="24"/>
          <w:color w:val="auto"/>
        </w:rPr>
      </w:pPr>
      <w:r>
        <w:rPr>
          <w:sz w:val="24"/>
          <w:szCs w:val="24"/>
          <w:color w:val="auto"/>
        </w:rPr>
        <w:br w:type="column"/>
      </w:r>
    </w:p>
    <w:p>
      <w:pPr>
        <w:spacing w:after="0" w:line="56" w:lineRule="exact"/>
        <w:rPr>
          <w:sz w:val="24"/>
          <w:szCs w:val="24"/>
          <w:color w:val="auto"/>
        </w:rPr>
      </w:pPr>
    </w:p>
    <w:p>
      <w:pPr>
        <w:spacing w:after="0"/>
        <w:rPr>
          <w:sz w:val="20"/>
          <w:szCs w:val="20"/>
          <w:color w:val="auto"/>
        </w:rPr>
      </w:pPr>
      <w:r>
        <w:rPr>
          <w:rFonts w:ascii="Arial" w:cs="Arial" w:eastAsia="Arial" w:hAnsi="Arial"/>
          <w:sz w:val="16"/>
          <w:szCs w:val="16"/>
          <w:color w:val="auto"/>
        </w:rPr>
        <w:t>$ 642,429.67</w:t>
      </w:r>
    </w:p>
    <w:p>
      <w:pPr>
        <w:spacing w:after="0" w:line="46" w:lineRule="exact"/>
        <w:rPr>
          <w:sz w:val="24"/>
          <w:szCs w:val="24"/>
          <w:color w:val="auto"/>
        </w:rPr>
      </w:pPr>
    </w:p>
    <w:p>
      <w:pPr>
        <w:spacing w:after="0"/>
        <w:rPr>
          <w:sz w:val="20"/>
          <w:szCs w:val="20"/>
          <w:color w:val="auto"/>
        </w:rPr>
      </w:pPr>
      <w:r>
        <w:rPr>
          <w:rFonts w:ascii="Arial" w:cs="Arial" w:eastAsia="Arial" w:hAnsi="Arial"/>
          <w:sz w:val="16"/>
          <w:szCs w:val="16"/>
          <w:color w:val="auto"/>
        </w:rPr>
        <w:t>Schedule TO</w:t>
      </w:r>
    </w:p>
    <w:p>
      <w:pPr>
        <w:spacing w:after="0" w:line="20" w:lineRule="exact"/>
        <w:rPr>
          <w:sz w:val="24"/>
          <w:szCs w:val="24"/>
          <w:color w:val="auto"/>
        </w:rPr>
      </w:pPr>
      <w:r>
        <w:rPr>
          <w:sz w:val="24"/>
          <w:szCs w:val="24"/>
          <w:color w:val="auto"/>
        </w:rPr>
        <w:br w:type="column"/>
      </w:r>
    </w:p>
    <w:p>
      <w:pPr>
        <w:spacing w:after="0" w:line="56" w:lineRule="exact"/>
        <w:rPr>
          <w:sz w:val="24"/>
          <w:szCs w:val="24"/>
          <w:color w:val="auto"/>
        </w:rPr>
      </w:pPr>
    </w:p>
    <w:p>
      <w:pPr>
        <w:spacing w:after="0"/>
        <w:rPr>
          <w:sz w:val="20"/>
          <w:szCs w:val="20"/>
          <w:color w:val="auto"/>
        </w:rPr>
      </w:pPr>
      <w:r>
        <w:rPr>
          <w:rFonts w:ascii="Arial" w:cs="Arial" w:eastAsia="Arial" w:hAnsi="Arial"/>
          <w:sz w:val="17"/>
          <w:szCs w:val="17"/>
          <w:color w:val="auto"/>
        </w:rPr>
        <w:t>Filing Party:</w:t>
      </w:r>
    </w:p>
    <w:p>
      <w:pPr>
        <w:spacing w:after="0" w:line="35" w:lineRule="exact"/>
        <w:rPr>
          <w:sz w:val="24"/>
          <w:szCs w:val="24"/>
          <w:color w:val="auto"/>
        </w:rPr>
      </w:pPr>
    </w:p>
    <w:p>
      <w:pPr>
        <w:spacing w:after="0"/>
        <w:rPr>
          <w:sz w:val="20"/>
          <w:szCs w:val="20"/>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br w:type="column"/>
      </w:r>
    </w:p>
    <w:p>
      <w:pPr>
        <w:spacing w:after="0" w:line="56" w:lineRule="exact"/>
        <w:rPr>
          <w:sz w:val="24"/>
          <w:szCs w:val="24"/>
          <w:color w:val="auto"/>
        </w:rPr>
      </w:pPr>
    </w:p>
    <w:p>
      <w:pPr>
        <w:spacing w:after="0"/>
        <w:rPr>
          <w:sz w:val="20"/>
          <w:szCs w:val="20"/>
          <w:color w:val="auto"/>
        </w:rPr>
      </w:pPr>
      <w:r>
        <w:rPr>
          <w:rFonts w:ascii="Arial" w:cs="Arial" w:eastAsia="Arial" w:hAnsi="Arial"/>
          <w:sz w:val="16"/>
          <w:szCs w:val="16"/>
          <w:color w:val="auto"/>
        </w:rPr>
        <w:t>Toro Merger Sub, Inc. and Gilead Sciences, Inc.</w:t>
      </w:r>
    </w:p>
    <w:p>
      <w:pPr>
        <w:spacing w:after="0" w:line="46" w:lineRule="exact"/>
        <w:rPr>
          <w:sz w:val="24"/>
          <w:szCs w:val="24"/>
          <w:color w:val="auto"/>
        </w:rPr>
      </w:pPr>
    </w:p>
    <w:p>
      <w:pPr>
        <w:spacing w:after="0"/>
        <w:rPr>
          <w:sz w:val="20"/>
          <w:szCs w:val="20"/>
          <w:color w:val="auto"/>
        </w:rPr>
      </w:pPr>
      <w:r>
        <w:rPr>
          <w:rFonts w:ascii="Arial" w:cs="Arial" w:eastAsia="Arial" w:hAnsi="Arial"/>
          <w:sz w:val="18"/>
          <w:szCs w:val="18"/>
          <w:color w:val="auto"/>
        </w:rPr>
        <w:t>March 10, 2020</w:t>
      </w:r>
    </w:p>
    <w:p>
      <w:pPr>
        <w:spacing w:after="0" w:line="116" w:lineRule="exact"/>
        <w:rPr>
          <w:sz w:val="24"/>
          <w:szCs w:val="24"/>
          <w:color w:val="auto"/>
        </w:rPr>
      </w:pPr>
    </w:p>
    <w:p>
      <w:pPr>
        <w:sectPr>
          <w:pgSz w:w="11900" w:h="16838" w:orient="portrait"/>
          <w:cols w:equalWidth="0" w:num="4">
            <w:col w:w="1880" w:space="580"/>
            <w:col w:w="2460" w:space="720"/>
            <w:col w:w="900" w:space="360"/>
            <w:col w:w="4340"/>
          </w:cols>
          <w:pgMar w:left="320" w:top="449" w:right="339" w:bottom="9" w:gutter="0" w:footer="0" w:header="0"/>
          <w:type w:val="continuous"/>
        </w:sectPr>
      </w:pPr>
    </w:p>
    <w:p>
      <w:pPr>
        <w:ind w:left="700" w:hanging="692"/>
        <w:spacing w:after="0"/>
        <w:tabs>
          <w:tab w:leader="none" w:pos="700" w:val="left"/>
        </w:tabs>
        <w:numPr>
          <w:ilvl w:val="0"/>
          <w:numId w:val="4"/>
        </w:numPr>
        <w:rPr>
          <w:rFonts w:ascii="MS PGothic" w:cs="MS PGothic" w:eastAsia="MS PGothic" w:hAnsi="MS PGothic"/>
          <w:sz w:val="16"/>
          <w:szCs w:val="16"/>
          <w:color w:val="auto"/>
        </w:rPr>
      </w:pPr>
      <w:r>
        <w:rPr>
          <w:rFonts w:ascii="Arial" w:cs="Arial" w:eastAsia="Arial" w:hAnsi="Arial"/>
          <w:sz w:val="16"/>
          <w:szCs w:val="16"/>
          <w:color w:val="auto"/>
        </w:rPr>
        <w:t>Check the box if the filing relates solely to preliminary communications made before the commencement of a tender offer.</w:t>
      </w:r>
    </w:p>
    <w:p>
      <w:pPr>
        <w:spacing w:after="0" w:line="154"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boxes below to designate any transactions to which the statement relates:</w:t>
      </w:r>
    </w:p>
    <w:p>
      <w:pPr>
        <w:spacing w:after="0" w:line="23" w:lineRule="exact"/>
        <w:rPr>
          <w:sz w:val="24"/>
          <w:szCs w:val="24"/>
          <w:color w:val="auto"/>
        </w:rPr>
      </w:pPr>
    </w:p>
    <w:p>
      <w:pPr>
        <w:ind w:left="600" w:hanging="592"/>
        <w:spacing w:after="0"/>
        <w:tabs>
          <w:tab w:leader="none" w:pos="6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third-party tender offer subject to Rule 14d-1.</w:t>
      </w:r>
    </w:p>
    <w:p>
      <w:pPr>
        <w:spacing w:after="0" w:line="9" w:lineRule="exact"/>
        <w:rPr>
          <w:rFonts w:ascii="Arial" w:cs="Arial" w:eastAsia="Arial" w:hAnsi="Arial"/>
          <w:sz w:val="18"/>
          <w:szCs w:val="18"/>
          <w:color w:val="auto"/>
        </w:rPr>
      </w:pPr>
    </w:p>
    <w:p>
      <w:pPr>
        <w:spacing w:after="0" w:line="207" w:lineRule="exact"/>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issuer tender offer subject to Rule 13e-4.</w:t>
      </w:r>
    </w:p>
    <w:p>
      <w:pPr>
        <w:spacing w:after="0" w:line="10" w:lineRule="exact"/>
        <w:rPr>
          <w:rFonts w:ascii="Arial" w:cs="Arial" w:eastAsia="Arial" w:hAnsi="Arial"/>
          <w:sz w:val="18"/>
          <w:szCs w:val="18"/>
          <w:color w:val="auto"/>
        </w:rPr>
      </w:pPr>
    </w:p>
    <w:p>
      <w:pPr>
        <w:spacing w:after="0" w:line="207" w:lineRule="exact"/>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going-private transaction subject to Rule 13e-3.</w:t>
      </w:r>
    </w:p>
    <w:p>
      <w:pPr>
        <w:spacing w:after="0" w:line="9" w:lineRule="exact"/>
        <w:rPr>
          <w:rFonts w:ascii="Arial" w:cs="Arial" w:eastAsia="Arial" w:hAnsi="Arial"/>
          <w:sz w:val="18"/>
          <w:szCs w:val="18"/>
          <w:color w:val="auto"/>
        </w:rPr>
      </w:pPr>
    </w:p>
    <w:p>
      <w:pPr>
        <w:spacing w:after="0" w:line="207" w:lineRule="exact"/>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amendment to Schedule 13D under Rule 13d-2.</w:t>
      </w:r>
    </w:p>
    <w:p>
      <w:pPr>
        <w:spacing w:after="0" w:line="115" w:lineRule="exact"/>
        <w:rPr>
          <w:sz w:val="24"/>
          <w:szCs w:val="24"/>
          <w:color w:val="auto"/>
        </w:rPr>
      </w:pPr>
    </w:p>
    <w:p>
      <w:pPr>
        <w:spacing w:after="0"/>
        <w:rPr>
          <w:sz w:val="20"/>
          <w:szCs w:val="20"/>
          <w:color w:val="auto"/>
        </w:rPr>
      </w:pPr>
      <w:r>
        <w:rPr>
          <w:rFonts w:ascii="Arial" w:cs="Arial" w:eastAsia="Arial" w:hAnsi="Arial"/>
          <w:sz w:val="18"/>
          <w:szCs w:val="18"/>
          <w:color w:val="auto"/>
        </w:rPr>
        <w:t>Check the following box if the filing is a final amendment reporting the results of the tender offer.  x</w:t>
      </w:r>
    </w:p>
    <w:p>
      <w:pPr>
        <w:spacing w:after="0" w:line="131" w:lineRule="exact"/>
        <w:rPr>
          <w:sz w:val="24"/>
          <w:szCs w:val="24"/>
          <w:color w:val="auto"/>
        </w:rPr>
      </w:pPr>
    </w:p>
    <w:p>
      <w:pPr>
        <w:spacing w:after="0"/>
        <w:rPr>
          <w:sz w:val="20"/>
          <w:szCs w:val="20"/>
          <w:color w:val="auto"/>
        </w:rPr>
      </w:pPr>
      <w:r>
        <w:rPr>
          <w:rFonts w:ascii="Arial" w:cs="Arial" w:eastAsia="Arial" w:hAnsi="Arial"/>
          <w:sz w:val="18"/>
          <w:szCs w:val="18"/>
          <w:color w:val="auto"/>
        </w:rPr>
        <w:t>If applicable, check the appropriate box(es) below to designate the appropriate rule provision(s) relied upon:</w:t>
      </w:r>
    </w:p>
    <w:p>
      <w:pPr>
        <w:spacing w:after="0" w:line="18" w:lineRule="exact"/>
        <w:rPr>
          <w:sz w:val="24"/>
          <w:szCs w:val="24"/>
          <w:color w:val="auto"/>
        </w:rPr>
      </w:pPr>
    </w:p>
    <w:p>
      <w:pPr>
        <w:ind w:left="700" w:hanging="692"/>
        <w:spacing w:after="0"/>
        <w:tabs>
          <w:tab w:leader="none" w:pos="700" w:val="left"/>
        </w:tabs>
        <w:numPr>
          <w:ilvl w:val="0"/>
          <w:numId w:val="6"/>
        </w:numPr>
        <w:rPr>
          <w:rFonts w:ascii="MS PGothic" w:cs="MS PGothic" w:eastAsia="MS PGothic" w:hAnsi="MS PGothic"/>
          <w:sz w:val="18"/>
          <w:szCs w:val="18"/>
          <w:color w:val="auto"/>
        </w:rPr>
      </w:pPr>
      <w:r>
        <w:rPr>
          <w:rFonts w:ascii="Arial" w:cs="Arial" w:eastAsia="Arial" w:hAnsi="Arial"/>
          <w:sz w:val="18"/>
          <w:szCs w:val="18"/>
          <w:color w:val="auto"/>
        </w:rPr>
        <w:t>Rule 13e-4(i) (Cross-Border Issuer Tender Offer)</w:t>
      </w:r>
    </w:p>
    <w:p>
      <w:pPr>
        <w:spacing w:after="0" w:line="15" w:lineRule="exact"/>
        <w:rPr>
          <w:rFonts w:ascii="MS PGothic" w:cs="MS PGothic" w:eastAsia="MS PGothic" w:hAnsi="MS PGothic"/>
          <w:sz w:val="18"/>
          <w:szCs w:val="18"/>
          <w:color w:val="auto"/>
        </w:rPr>
      </w:pPr>
    </w:p>
    <w:p>
      <w:pPr>
        <w:ind w:left="700" w:hanging="692"/>
        <w:spacing w:after="0"/>
        <w:tabs>
          <w:tab w:leader="none" w:pos="700" w:val="left"/>
        </w:tabs>
        <w:numPr>
          <w:ilvl w:val="0"/>
          <w:numId w:val="6"/>
        </w:numPr>
        <w:rPr>
          <w:rFonts w:ascii="MS PGothic" w:cs="MS PGothic" w:eastAsia="MS PGothic" w:hAnsi="MS PGothic"/>
          <w:sz w:val="18"/>
          <w:szCs w:val="18"/>
          <w:color w:val="auto"/>
        </w:rPr>
      </w:pPr>
      <w:r>
        <w:rPr>
          <w:rFonts w:ascii="Arial" w:cs="Arial" w:eastAsia="Arial" w:hAnsi="Arial"/>
          <w:sz w:val="18"/>
          <w:szCs w:val="18"/>
          <w:color w:val="auto"/>
        </w:rPr>
        <w:t>Rule 14d-1(d) (Cross-Border Third-Party Tender Offer)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81915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124460</wp:posOffset>
            </wp:positionV>
            <wp:extent cx="7132320"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49" w:right="339" w:bottom="9" w:gutter="0" w:footer="0" w:header="0"/>
          <w:type w:val="continuous"/>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292735</wp:posOffset>
            </wp:positionV>
            <wp:extent cx="7153275"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ind w:right="40" w:firstLine="363"/>
        <w:spacing w:after="0" w:line="269" w:lineRule="auto"/>
        <w:rPr>
          <w:sz w:val="20"/>
          <w:szCs w:val="20"/>
          <w:color w:val="auto"/>
        </w:rPr>
      </w:pPr>
      <w:r>
        <w:rPr>
          <w:rFonts w:ascii="Arial" w:cs="Arial" w:eastAsia="Arial" w:hAnsi="Arial"/>
          <w:sz w:val="17"/>
          <w:szCs w:val="17"/>
          <w:color w:val="auto"/>
        </w:rPr>
        <w:t>This Amendment No. 5 (this “Amendment”) amends and supplements the Tender Offer Statement on Schedule TO filed by Toro Merger Sub, Inc., a Delaware corporation (“Purchaser”), and Gilead Sciences, Inc., a Delaware corporation (“Parent”), with the U.S. Securities and Exchange Commission on March 10, 2020 (together with any subsequent amendments and supplements thereto, the “Schedule TO”). The Schedule TO relates to the offer by Purchaser to purchase all outstanding shares of common stock, $0.0001 par value per share (the “Shares”), of Forty Seven, Inc., a Delaware corporation (“Forty Seven”), at a price of $95.50 per Share, net to the holder in cash, without interest and subject to any withholding of taxes, upon the terms and subject to the conditions described in the Offer to Purchase dated March 10, 2020 (together with any amendments or supplements thereto, the “Offer to Purchase”) and in the accompanying Letter of Transmittal (together with any amendments or supplements thereto and with the Offer to Purchase, the “Offer”), which are annexed to and filed with the Schedule TO as Exhibits (a)(1)(A) and (a)(1)(B), respectively. Purchaser is a wholly owned subsidiary of Parent. This Amendment is being filed on behalf of Parent and Purchaser. Unless otherwise indicated, references to sections in the Schedule TO are references to sections of the Offer to Purchase.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Amendments to the Offer to Purchase</w:t>
      </w:r>
      <w:r>
        <w:rPr>
          <w:rFonts w:ascii="Arial" w:cs="Arial" w:eastAsia="Arial" w:hAnsi="Arial"/>
          <w:sz w:val="18"/>
          <w:szCs w:val="18"/>
          <w:color w:val="auto"/>
        </w:rPr>
        <w: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Items 1 through 11.</w:t>
      </w:r>
    </w:p>
    <w:p>
      <w:pPr>
        <w:spacing w:after="0" w:line="229" w:lineRule="exact"/>
        <w:rPr>
          <w:sz w:val="20"/>
          <w:szCs w:val="20"/>
          <w:color w:val="auto"/>
        </w:rPr>
      </w:pPr>
    </w:p>
    <w:p>
      <w:pPr>
        <w:ind w:right="280" w:firstLine="324"/>
        <w:spacing w:after="0" w:line="277" w:lineRule="auto"/>
        <w:rPr>
          <w:sz w:val="20"/>
          <w:szCs w:val="20"/>
          <w:color w:val="auto"/>
        </w:rPr>
      </w:pPr>
      <w:r>
        <w:rPr>
          <w:rFonts w:ascii="Arial" w:cs="Arial" w:eastAsia="Arial" w:hAnsi="Arial"/>
          <w:sz w:val="18"/>
          <w:szCs w:val="18"/>
          <w:color w:val="auto"/>
        </w:rPr>
        <w:t>The information set forth in the Offer to Purchase and Items 1 through 11 of the Schedule TO, to the extent such Items incorporate by reference the information contained in the Offer to Purchase, are hereby amended and supplemented as follows:</w:t>
      </w:r>
    </w:p>
    <w:p>
      <w:pPr>
        <w:spacing w:after="0" w:line="170" w:lineRule="exact"/>
        <w:rPr>
          <w:sz w:val="20"/>
          <w:szCs w:val="20"/>
          <w:color w:val="auto"/>
        </w:rPr>
      </w:pPr>
    </w:p>
    <w:p>
      <w:pPr>
        <w:ind w:right="20" w:firstLine="324"/>
        <w:spacing w:after="0" w:line="296" w:lineRule="auto"/>
        <w:rPr>
          <w:sz w:val="20"/>
          <w:szCs w:val="20"/>
          <w:color w:val="auto"/>
        </w:rPr>
      </w:pPr>
      <w:r>
        <w:rPr>
          <w:rFonts w:ascii="Arial" w:cs="Arial" w:eastAsia="Arial" w:hAnsi="Arial"/>
          <w:sz w:val="16"/>
          <w:szCs w:val="16"/>
          <w:color w:val="auto"/>
        </w:rPr>
        <w:t>At 12:00 midnight, Eastern Time, on Tuesday, April 7, 2020 (one minute after 11:59 p.m., Eastern Time, on April 6, 2020), the Offer expired. The Depositary advised Purchaser that, as of the expiration of the Offer, a total of 43,040,853 Shares (excluding Shares with respect to which Notices of Guaranteed Delivery were delivered) were validly tendered and not properly withdrawn pursuant to the Offer, representing approximately 89.07% of the Shares outstanding as of the expiration of the Offer. In addition, the Depositary advised Purchaser that Notices of Guaranteed Delivery have been delivered with respect to 2,133,813 additional Shares, representing approximately 4.42% of the outstanding Shares as of the expiration of the Offer.</w:t>
      </w:r>
    </w:p>
    <w:p>
      <w:pPr>
        <w:spacing w:after="0" w:line="161"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As of the expiration of the Offer, the number of Shares validly tendered and not properly withdrawn pursuant to the Offer satisfied the Minimum Tender Condition, and all other conditions to the Offer were satisfied or waived. Immediately after the expiration of the Offer, Purchaser irrevocably accepted for payment, and will promptly (and in any event within three (3) business days) pay for, all Shares tendered and not properly withdrawn pursuant to Offer.</w:t>
      </w:r>
    </w:p>
    <w:p>
      <w:pPr>
        <w:spacing w:after="0" w:line="187" w:lineRule="exact"/>
        <w:rPr>
          <w:sz w:val="20"/>
          <w:szCs w:val="20"/>
          <w:color w:val="auto"/>
        </w:rPr>
      </w:pPr>
    </w:p>
    <w:p>
      <w:pPr>
        <w:ind w:right="100" w:firstLine="324"/>
        <w:spacing w:after="0" w:line="255" w:lineRule="auto"/>
        <w:rPr>
          <w:sz w:val="20"/>
          <w:szCs w:val="20"/>
          <w:color w:val="auto"/>
        </w:rPr>
      </w:pPr>
      <w:r>
        <w:rPr>
          <w:rFonts w:ascii="Arial" w:cs="Arial" w:eastAsia="Arial" w:hAnsi="Arial"/>
          <w:sz w:val="18"/>
          <w:szCs w:val="18"/>
          <w:color w:val="auto"/>
        </w:rPr>
        <w:t>Parent and Purchaser expect to complete the acquisition of Forty Seven on April 7, 2020 by consummating the Merger pursuant to the Merger Agreement without a meeting of the Forty Seven shareholders in accordance with Section 251(h) of the DGCL. At the effective time of the Merger, each outstanding Share (other than any Shares held by or in the treasury of Forty Seven or owned by Parent, Purchaser or any of Parent’s other subsidiaries and any Shares held by stockholders who have properly exercised and perfected their demands for appraisal of such Shares in accordance with the DGCL and have neither withdrawn nor lost such rights prior to the effective time of the Merger) will be cancelled and converted into the right to receive $95.50, in cash, without interest.</w:t>
      </w:r>
    </w:p>
    <w:p>
      <w:pPr>
        <w:spacing w:after="0" w:line="192" w:lineRule="exact"/>
        <w:rPr>
          <w:sz w:val="20"/>
          <w:szCs w:val="20"/>
          <w:color w:val="auto"/>
        </w:rPr>
      </w:pPr>
    </w:p>
    <w:p>
      <w:pPr>
        <w:ind w:right="100" w:firstLine="324"/>
        <w:spacing w:after="0" w:line="263" w:lineRule="auto"/>
        <w:rPr>
          <w:sz w:val="20"/>
          <w:szCs w:val="20"/>
          <w:color w:val="auto"/>
        </w:rPr>
      </w:pPr>
      <w:r>
        <w:rPr>
          <w:rFonts w:ascii="Arial" w:cs="Arial" w:eastAsia="Arial" w:hAnsi="Arial"/>
          <w:sz w:val="18"/>
          <w:szCs w:val="18"/>
          <w:color w:val="auto"/>
        </w:rPr>
        <w:t>Following consummation of the Merger, the Shares will be delisted and will cease to trade on the NASDAQ Global Select Market. Parent and Purchaser intend to take steps to cause the termination of the registration of the Shares under the Exchange Act and suspend all of Forty Seven’s reporting obligations under the Exchange Act as promptly as practicable.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192405</wp:posOffset>
            </wp:positionV>
            <wp:extent cx="7153275"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200"/>
          </w:cols>
          <w:pgMar w:left="320" w:top="341" w:right="379" w:bottom="1440" w:gutter="0" w:footer="0" w:header="0"/>
        </w:sectPr>
      </w:pPr>
    </w:p>
    <w:bookmarkStart w:id="3" w:name="page4"/>
    <w:bookmarkEnd w:id="3"/>
    <w:p>
      <w:pPr>
        <w:jc w:val="center"/>
        <w:ind w:right="40"/>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After due inquiry and to the best of my knowledge and belief, I certify that the information set forth in this statement is true, complete and correct.</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Dated: April 7, 2020</w:t>
      </w:r>
    </w:p>
    <w:p>
      <w:pPr>
        <w:spacing w:after="0" w:line="221"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TORO MERGER SUB, INC.</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40" w:type="dxa"/>
            <w:vAlign w:val="bottom"/>
          </w:tcPr>
          <w:p>
            <w:pPr>
              <w:ind w:left="5640"/>
              <w:spacing w:after="0"/>
              <w:rPr>
                <w:sz w:val="20"/>
                <w:szCs w:val="20"/>
                <w:color w:val="auto"/>
              </w:rPr>
            </w:pPr>
            <w:r>
              <w:rPr>
                <w:rFonts w:ascii="Arial" w:cs="Arial" w:eastAsia="Arial" w:hAnsi="Arial"/>
                <w:sz w:val="18"/>
                <w:szCs w:val="18"/>
                <w:color w:val="auto"/>
              </w:rPr>
              <w:t>By:</w:t>
            </w:r>
          </w:p>
        </w:tc>
        <w:tc>
          <w:tcPr>
            <w:tcW w:w="50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BRETT A. PLETCHER</w:t>
            </w:r>
          </w:p>
        </w:tc>
        <w:tc>
          <w:tcPr>
            <w:tcW w:w="40" w:type="dxa"/>
            <w:vAlign w:val="bottom"/>
          </w:tcPr>
          <w:p>
            <w:pPr>
              <w:spacing w:after="0"/>
              <w:rPr>
                <w:sz w:val="20"/>
                <w:szCs w:val="20"/>
                <w:color w:val="auto"/>
              </w:rPr>
            </w:pPr>
          </w:p>
        </w:tc>
      </w:tr>
      <w:tr>
        <w:trPr>
          <w:trHeight w:val="195"/>
        </w:trPr>
        <w:tc>
          <w:tcPr>
            <w:tcW w:w="6240" w:type="dxa"/>
            <w:vAlign w:val="bottom"/>
          </w:tcPr>
          <w:p>
            <w:pPr>
              <w:spacing w:after="0"/>
              <w:rPr>
                <w:sz w:val="16"/>
                <w:szCs w:val="16"/>
                <w:color w:val="auto"/>
              </w:rPr>
            </w:pPr>
          </w:p>
        </w:tc>
        <w:tc>
          <w:tcPr>
            <w:tcW w:w="64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360" w:type="dxa"/>
            <w:vAlign w:val="bottom"/>
          </w:tcPr>
          <w:p>
            <w:pPr>
              <w:ind w:left="140"/>
              <w:spacing w:after="0" w:line="195" w:lineRule="exact"/>
              <w:rPr>
                <w:sz w:val="20"/>
                <w:szCs w:val="20"/>
                <w:color w:val="auto"/>
              </w:rPr>
            </w:pPr>
            <w:r>
              <w:rPr>
                <w:rFonts w:ascii="Arial" w:cs="Arial" w:eastAsia="Arial" w:hAnsi="Arial"/>
                <w:sz w:val="18"/>
                <w:szCs w:val="18"/>
                <w:color w:val="auto"/>
              </w:rPr>
              <w:t>Brett A. Pletcher</w:t>
            </w:r>
          </w:p>
        </w:tc>
        <w:tc>
          <w:tcPr>
            <w:tcW w:w="40" w:type="dxa"/>
            <w:vAlign w:val="bottom"/>
          </w:tcPr>
          <w:p>
            <w:pPr>
              <w:spacing w:after="0"/>
              <w:rPr>
                <w:sz w:val="16"/>
                <w:szCs w:val="16"/>
                <w:color w:val="auto"/>
              </w:rPr>
            </w:pPr>
          </w:p>
        </w:tc>
      </w:tr>
      <w:tr>
        <w:trPr>
          <w:trHeight w:val="230"/>
        </w:trPr>
        <w:tc>
          <w:tcPr>
            <w:tcW w:w="6240" w:type="dxa"/>
            <w:vAlign w:val="bottom"/>
          </w:tcPr>
          <w:p>
            <w:pPr>
              <w:spacing w:after="0"/>
              <w:rPr>
                <w:sz w:val="20"/>
                <w:szCs w:val="20"/>
                <w:color w:val="auto"/>
              </w:rPr>
            </w:pPr>
          </w:p>
        </w:tc>
        <w:tc>
          <w:tcPr>
            <w:tcW w:w="640" w:type="dxa"/>
            <w:vAlign w:val="bottom"/>
          </w:tcPr>
          <w:p>
            <w:pPr>
              <w:spacing w:after="0"/>
              <w:rPr>
                <w:sz w:val="20"/>
                <w:szCs w:val="20"/>
                <w:color w:val="auto"/>
              </w:rPr>
            </w:pPr>
            <w:r>
              <w:rPr>
                <w:rFonts w:ascii="Arial" w:cs="Arial" w:eastAsia="Arial" w:hAnsi="Arial"/>
                <w:sz w:val="18"/>
                <w:szCs w:val="18"/>
                <w:color w:val="auto"/>
              </w:rPr>
              <w:t>Title:</w:t>
            </w:r>
          </w:p>
        </w:tc>
        <w:tc>
          <w:tcPr>
            <w:tcW w:w="4360" w:type="dxa"/>
            <w:vAlign w:val="bottom"/>
          </w:tcPr>
          <w:p>
            <w:pPr>
              <w:ind w:left="140"/>
              <w:spacing w:after="0"/>
              <w:rPr>
                <w:sz w:val="20"/>
                <w:szCs w:val="20"/>
                <w:color w:val="auto"/>
              </w:rPr>
            </w:pPr>
            <w:r>
              <w:rPr>
                <w:rFonts w:ascii="Arial" w:cs="Arial" w:eastAsia="Arial" w:hAnsi="Arial"/>
                <w:sz w:val="18"/>
                <w:szCs w:val="18"/>
                <w:i w:val="1"/>
                <w:iCs w:val="1"/>
                <w:color w:val="auto"/>
              </w:rPr>
              <w:t>Secretary and Director</w:t>
            </w:r>
          </w:p>
        </w:tc>
        <w:tc>
          <w:tcPr>
            <w:tcW w:w="40" w:type="dxa"/>
            <w:vAlign w:val="bottom"/>
          </w:tcPr>
          <w:p>
            <w:pPr>
              <w:spacing w:after="0"/>
              <w:rPr>
                <w:sz w:val="20"/>
                <w:szCs w:val="20"/>
                <w:color w:val="auto"/>
              </w:rPr>
            </w:pPr>
          </w:p>
        </w:tc>
      </w:tr>
      <w:tr>
        <w:trPr>
          <w:trHeight w:val="432"/>
        </w:trPr>
        <w:tc>
          <w:tcPr>
            <w:tcW w:w="11240" w:type="dxa"/>
            <w:vAlign w:val="bottom"/>
            <w:gridSpan w:val="3"/>
          </w:tcPr>
          <w:p>
            <w:pPr>
              <w:ind w:left="5640"/>
              <w:spacing w:after="0"/>
              <w:rPr>
                <w:sz w:val="20"/>
                <w:szCs w:val="20"/>
                <w:color w:val="auto"/>
              </w:rPr>
            </w:pPr>
            <w:r>
              <w:rPr>
                <w:rFonts w:ascii="Arial" w:cs="Arial" w:eastAsia="Arial" w:hAnsi="Arial"/>
                <w:sz w:val="18"/>
                <w:szCs w:val="18"/>
                <w:b w:val="1"/>
                <w:bCs w:val="1"/>
                <w:color w:val="auto"/>
              </w:rPr>
              <w:t>GILEAD SCIENCES, INC.</w:t>
            </w:r>
          </w:p>
        </w:tc>
        <w:tc>
          <w:tcPr>
            <w:tcW w:w="40" w:type="dxa"/>
            <w:vAlign w:val="bottom"/>
          </w:tcPr>
          <w:p>
            <w:pPr>
              <w:spacing w:after="0"/>
              <w:rPr>
                <w:sz w:val="24"/>
                <w:szCs w:val="24"/>
                <w:color w:val="auto"/>
              </w:rPr>
            </w:pPr>
          </w:p>
        </w:tc>
      </w:tr>
      <w:tr>
        <w:trPr>
          <w:trHeight w:val="432"/>
        </w:trPr>
        <w:tc>
          <w:tcPr>
            <w:tcW w:w="6240" w:type="dxa"/>
            <w:vAlign w:val="bottom"/>
          </w:tcPr>
          <w:p>
            <w:pPr>
              <w:ind w:left="5640"/>
              <w:spacing w:after="0"/>
              <w:rPr>
                <w:sz w:val="20"/>
                <w:szCs w:val="20"/>
                <w:color w:val="auto"/>
              </w:rPr>
            </w:pPr>
            <w:r>
              <w:rPr>
                <w:rFonts w:ascii="Arial" w:cs="Arial" w:eastAsia="Arial" w:hAnsi="Arial"/>
                <w:sz w:val="18"/>
                <w:szCs w:val="18"/>
                <w:color w:val="auto"/>
              </w:rPr>
              <w:t>By:</w:t>
            </w:r>
          </w:p>
        </w:tc>
        <w:tc>
          <w:tcPr>
            <w:tcW w:w="50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BRETT A. PLETCHER</w:t>
            </w:r>
          </w:p>
        </w:tc>
        <w:tc>
          <w:tcPr>
            <w:tcW w:w="40" w:type="dxa"/>
            <w:vAlign w:val="bottom"/>
          </w:tcPr>
          <w:p>
            <w:pPr>
              <w:spacing w:after="0"/>
              <w:rPr>
                <w:sz w:val="24"/>
                <w:szCs w:val="24"/>
                <w:color w:val="auto"/>
              </w:rPr>
            </w:pPr>
          </w:p>
        </w:tc>
      </w:tr>
      <w:tr>
        <w:trPr>
          <w:trHeight w:val="195"/>
        </w:trPr>
        <w:tc>
          <w:tcPr>
            <w:tcW w:w="6240" w:type="dxa"/>
            <w:vAlign w:val="bottom"/>
          </w:tcPr>
          <w:p>
            <w:pPr>
              <w:spacing w:after="0"/>
              <w:rPr>
                <w:sz w:val="16"/>
                <w:szCs w:val="16"/>
                <w:color w:val="auto"/>
              </w:rPr>
            </w:pPr>
          </w:p>
        </w:tc>
        <w:tc>
          <w:tcPr>
            <w:tcW w:w="64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360" w:type="dxa"/>
            <w:vAlign w:val="bottom"/>
          </w:tcPr>
          <w:p>
            <w:pPr>
              <w:ind w:left="140"/>
              <w:spacing w:after="0" w:line="195" w:lineRule="exact"/>
              <w:rPr>
                <w:sz w:val="20"/>
                <w:szCs w:val="20"/>
                <w:color w:val="auto"/>
              </w:rPr>
            </w:pPr>
            <w:r>
              <w:rPr>
                <w:rFonts w:ascii="Arial" w:cs="Arial" w:eastAsia="Arial" w:hAnsi="Arial"/>
                <w:sz w:val="18"/>
                <w:szCs w:val="18"/>
                <w:color w:val="auto"/>
              </w:rPr>
              <w:t>Brett A. Pletcher</w:t>
            </w:r>
          </w:p>
        </w:tc>
        <w:tc>
          <w:tcPr>
            <w:tcW w:w="40" w:type="dxa"/>
            <w:vAlign w:val="bottom"/>
          </w:tcPr>
          <w:p>
            <w:pPr>
              <w:spacing w:after="0"/>
              <w:rPr>
                <w:sz w:val="16"/>
                <w:szCs w:val="16"/>
                <w:color w:val="auto"/>
              </w:rPr>
            </w:pPr>
          </w:p>
        </w:tc>
      </w:tr>
      <w:tr>
        <w:trPr>
          <w:trHeight w:val="216"/>
        </w:trPr>
        <w:tc>
          <w:tcPr>
            <w:tcW w:w="6240" w:type="dxa"/>
            <w:vAlign w:val="bottom"/>
          </w:tcPr>
          <w:p>
            <w:pPr>
              <w:spacing w:after="0"/>
              <w:rPr>
                <w:sz w:val="18"/>
                <w:szCs w:val="18"/>
                <w:color w:val="auto"/>
              </w:rPr>
            </w:pPr>
          </w:p>
        </w:tc>
        <w:tc>
          <w:tcPr>
            <w:tcW w:w="640" w:type="dxa"/>
            <w:vAlign w:val="bottom"/>
          </w:tcPr>
          <w:p>
            <w:pPr>
              <w:spacing w:after="0"/>
              <w:rPr>
                <w:sz w:val="20"/>
                <w:szCs w:val="20"/>
                <w:color w:val="auto"/>
              </w:rPr>
            </w:pPr>
            <w:r>
              <w:rPr>
                <w:rFonts w:ascii="Arial" w:cs="Arial" w:eastAsia="Arial" w:hAnsi="Arial"/>
                <w:sz w:val="18"/>
                <w:szCs w:val="18"/>
                <w:color w:val="auto"/>
              </w:rPr>
              <w:t>Title:</w:t>
            </w:r>
          </w:p>
        </w:tc>
        <w:tc>
          <w:tcPr>
            <w:tcW w:w="4360" w:type="dxa"/>
            <w:vAlign w:val="bottom"/>
          </w:tcPr>
          <w:p>
            <w:pPr>
              <w:ind w:left="140"/>
              <w:spacing w:after="0"/>
              <w:rPr>
                <w:sz w:val="20"/>
                <w:szCs w:val="20"/>
                <w:color w:val="auto"/>
              </w:rPr>
            </w:pPr>
            <w:r>
              <w:rPr>
                <w:rFonts w:ascii="Arial" w:cs="Arial" w:eastAsia="Arial" w:hAnsi="Arial"/>
                <w:sz w:val="18"/>
                <w:szCs w:val="18"/>
                <w:i w:val="1"/>
                <w:iCs w:val="1"/>
                <w:color w:val="auto"/>
              </w:rPr>
              <w:t>Executive Vice President, Corporate Affairs, General</w:t>
            </w:r>
          </w:p>
        </w:tc>
        <w:tc>
          <w:tcPr>
            <w:tcW w:w="40" w:type="dxa"/>
            <w:vAlign w:val="bottom"/>
          </w:tcPr>
          <w:p>
            <w:pPr>
              <w:spacing w:after="0"/>
              <w:rPr>
                <w:sz w:val="18"/>
                <w:szCs w:val="18"/>
                <w:color w:val="auto"/>
              </w:rPr>
            </w:pPr>
          </w:p>
        </w:tc>
      </w:tr>
      <w:tr>
        <w:trPr>
          <w:trHeight w:val="230"/>
        </w:trPr>
        <w:tc>
          <w:tcPr>
            <w:tcW w:w="62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360" w:type="dxa"/>
            <w:vAlign w:val="bottom"/>
          </w:tcPr>
          <w:p>
            <w:pPr>
              <w:ind w:left="140"/>
              <w:spacing w:after="0"/>
              <w:rPr>
                <w:sz w:val="20"/>
                <w:szCs w:val="20"/>
                <w:color w:val="auto"/>
              </w:rPr>
            </w:pPr>
            <w:r>
              <w:rPr>
                <w:rFonts w:ascii="Arial" w:cs="Arial" w:eastAsia="Arial" w:hAnsi="Arial"/>
                <w:sz w:val="18"/>
                <w:szCs w:val="18"/>
                <w:i w:val="1"/>
                <w:iCs w:val="1"/>
                <w:color w:val="auto"/>
              </w:rPr>
              <w:t>Counsel and Corporate Secretary</w:t>
            </w:r>
          </w:p>
        </w:tc>
        <w:tc>
          <w:tcPr>
            <w:tcW w:w="40" w:type="dxa"/>
            <w:vAlign w:val="bottom"/>
          </w:tcPr>
          <w:p>
            <w:pPr>
              <w:spacing w:after="0"/>
              <w:rPr>
                <w:sz w:val="20"/>
                <w:szCs w:val="20"/>
                <w:color w:val="auto"/>
              </w:rPr>
            </w:pPr>
          </w:p>
        </w:tc>
      </w:tr>
      <w:tr>
        <w:trPr>
          <w:trHeight w:val="348"/>
        </w:trPr>
        <w:tc>
          <w:tcPr>
            <w:tcW w:w="6240" w:type="dxa"/>
            <w:vAlign w:val="bottom"/>
            <w:tcBorders>
              <w:bottom w:val="single" w:sz="8" w:color="808080"/>
            </w:tcBorders>
          </w:tcPr>
          <w:p>
            <w:pPr>
              <w:spacing w:after="0"/>
              <w:rPr>
                <w:sz w:val="24"/>
                <w:szCs w:val="24"/>
                <w:color w:val="auto"/>
              </w:rPr>
            </w:pPr>
          </w:p>
        </w:tc>
        <w:tc>
          <w:tcPr>
            <w:tcW w:w="640" w:type="dxa"/>
            <w:vAlign w:val="bottom"/>
            <w:tcBorders>
              <w:bottom w:val="single" w:sz="8" w:color="808080"/>
            </w:tcBorders>
          </w:tcPr>
          <w:p>
            <w:pPr>
              <w:spacing w:after="0"/>
              <w:rPr>
                <w:sz w:val="24"/>
                <w:szCs w:val="24"/>
                <w:color w:val="auto"/>
              </w:rPr>
            </w:pPr>
          </w:p>
        </w:tc>
        <w:tc>
          <w:tcPr>
            <w:tcW w:w="436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7143750</wp:posOffset>
            </wp:positionH>
            <wp:positionV relativeFrom="paragraph">
              <wp:posOffset>-29210</wp:posOffset>
            </wp:positionV>
            <wp:extent cx="12700"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sectPr>
      <w:pgSz w:w="11900" w:h="16838" w:orient="portrait"/>
      <w:cols w:equalWidth="0" w:num="1">
        <w:col w:w="11280"/>
      </w:cols>
      <w:pgMar w:left="320" w:top="337"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x"/>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x"/>
      <w:numFmt w:val="bullet"/>
      <w:start w:val="1"/>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2020-04-07T06:04:12Z</dcterms:created>
  <dcterms:modified xsi:type="dcterms:W3CDTF">2020-04-07T06:04:12Z</dcterms:modified>
</cp:coreProperties>
</file>