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April 7, 2020</w:t>
      </w:r>
    </w:p>
    <w:p>
      <w:pPr>
        <w:spacing w:after="0" w:line="90"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No. 333-235458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124460</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51" w:lineRule="exact"/>
        <w:rPr>
          <w:sz w:val="24"/>
          <w:szCs w:val="24"/>
          <w:color w:val="auto"/>
        </w:rPr>
      </w:pPr>
    </w:p>
    <w:p>
      <w:pPr>
        <w:jc w:val="center"/>
        <w:ind w:left="340" w:right="600"/>
        <w:spacing w:after="0" w:line="333" w:lineRule="auto"/>
        <w:rPr>
          <w:sz w:val="20"/>
          <w:szCs w:val="20"/>
          <w:color w:val="auto"/>
        </w:rPr>
      </w:pPr>
      <w:r>
        <w:rPr>
          <w:rFonts w:ascii="Arial" w:cs="Arial" w:eastAsia="Arial" w:hAnsi="Arial"/>
          <w:sz w:val="22"/>
          <w:szCs w:val="22"/>
          <w:b w:val="1"/>
          <w:bCs w:val="1"/>
          <w:color w:val="auto"/>
        </w:rPr>
        <w:t>POST-EFFECTIVE AMENDMENT NO. 1 TO FORM S-3 REGISTRATION STATEMENT NO. 333-235458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51435</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FORTY SEVEN,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124460</wp:posOffset>
            </wp:positionV>
            <wp:extent cx="1800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61" w:lineRule="exact"/>
        <w:rPr>
          <w:sz w:val="24"/>
          <w:szCs w:val="24"/>
          <w:color w:val="auto"/>
        </w:rPr>
      </w:pPr>
    </w:p>
    <w:tbl>
      <w:tblPr>
        <w:tblLayout w:type="fixed"/>
        <w:tblInd w:w="1780" w:type="dxa"/>
        <w:tblCellMar>
          <w:top w:w="0" w:type="dxa"/>
          <w:left w:w="0" w:type="dxa"/>
          <w:bottom w:w="0" w:type="dxa"/>
          <w:right w:w="0" w:type="dxa"/>
        </w:tblCellMar>
      </w:tblPr>
      <w:tr>
        <w:trPr>
          <w:trHeight w:val="220"/>
        </w:trPr>
        <w:tc>
          <w:tcPr>
            <w:tcW w:w="4000" w:type="dxa"/>
            <w:vAlign w:val="bottom"/>
          </w:tcPr>
          <w:p>
            <w:pPr>
              <w:jc w:val="center"/>
              <w:ind w:right="1950"/>
              <w:spacing w:after="0"/>
              <w:rPr>
                <w:sz w:val="20"/>
                <w:szCs w:val="20"/>
                <w:color w:val="auto"/>
              </w:rPr>
            </w:pPr>
            <w:r>
              <w:rPr>
                <w:rFonts w:ascii="Arial" w:cs="Arial" w:eastAsia="Arial" w:hAnsi="Arial"/>
                <w:sz w:val="18"/>
                <w:szCs w:val="18"/>
                <w:b w:val="1"/>
                <w:bCs w:val="1"/>
                <w:color w:val="auto"/>
                <w:w w:val="91"/>
              </w:rPr>
              <w:t>Delaware</w:t>
            </w:r>
          </w:p>
        </w:tc>
        <w:tc>
          <w:tcPr>
            <w:tcW w:w="3380" w:type="dxa"/>
            <w:vAlign w:val="bottom"/>
          </w:tcPr>
          <w:p>
            <w:pPr>
              <w:jc w:val="center"/>
              <w:ind w:left="1950"/>
              <w:spacing w:after="0"/>
              <w:rPr>
                <w:sz w:val="20"/>
                <w:szCs w:val="20"/>
                <w:color w:val="auto"/>
              </w:rPr>
            </w:pPr>
            <w:r>
              <w:rPr>
                <w:rFonts w:ascii="Arial" w:cs="Arial" w:eastAsia="Arial" w:hAnsi="Arial"/>
                <w:sz w:val="18"/>
                <w:szCs w:val="18"/>
                <w:b w:val="1"/>
                <w:bCs w:val="1"/>
                <w:color w:val="auto"/>
                <w:w w:val="89"/>
              </w:rPr>
              <w:t>47-4065674</w:t>
            </w:r>
          </w:p>
        </w:tc>
      </w:tr>
      <w:tr>
        <w:trPr>
          <w:trHeight w:val="216"/>
        </w:trPr>
        <w:tc>
          <w:tcPr>
            <w:tcW w:w="4000" w:type="dxa"/>
            <w:vAlign w:val="bottom"/>
          </w:tcPr>
          <w:p>
            <w:pPr>
              <w:jc w:val="center"/>
              <w:ind w:right="1950"/>
              <w:spacing w:after="0"/>
              <w:rPr>
                <w:sz w:val="20"/>
                <w:szCs w:val="20"/>
                <w:color w:val="auto"/>
              </w:rPr>
            </w:pPr>
            <w:r>
              <w:rPr>
                <w:rFonts w:ascii="Arial" w:cs="Arial" w:eastAsia="Arial" w:hAnsi="Arial"/>
                <w:sz w:val="18"/>
                <w:szCs w:val="18"/>
                <w:color w:val="auto"/>
                <w:w w:val="91"/>
              </w:rPr>
              <w:t>(State or Other Jurisdiction</w:t>
            </w:r>
          </w:p>
        </w:tc>
        <w:tc>
          <w:tcPr>
            <w:tcW w:w="3380" w:type="dxa"/>
            <w:vAlign w:val="bottom"/>
          </w:tcPr>
          <w:p>
            <w:pPr>
              <w:jc w:val="center"/>
              <w:ind w:left="1950"/>
              <w:spacing w:after="0"/>
              <w:rPr>
                <w:sz w:val="20"/>
                <w:szCs w:val="20"/>
                <w:color w:val="auto"/>
              </w:rPr>
            </w:pPr>
            <w:r>
              <w:rPr>
                <w:rFonts w:ascii="Arial" w:cs="Arial" w:eastAsia="Arial" w:hAnsi="Arial"/>
                <w:sz w:val="18"/>
                <w:szCs w:val="18"/>
                <w:color w:val="auto"/>
                <w:w w:val="93"/>
              </w:rPr>
              <w:t>(IRS Employer</w:t>
            </w:r>
          </w:p>
        </w:tc>
      </w:tr>
      <w:tr>
        <w:trPr>
          <w:trHeight w:val="230"/>
        </w:trPr>
        <w:tc>
          <w:tcPr>
            <w:tcW w:w="4000" w:type="dxa"/>
            <w:vAlign w:val="bottom"/>
          </w:tcPr>
          <w:p>
            <w:pPr>
              <w:jc w:val="center"/>
              <w:ind w:right="1950"/>
              <w:spacing w:after="0"/>
              <w:rPr>
                <w:sz w:val="20"/>
                <w:szCs w:val="20"/>
                <w:color w:val="auto"/>
              </w:rPr>
            </w:pPr>
            <w:r>
              <w:rPr>
                <w:rFonts w:ascii="Arial" w:cs="Arial" w:eastAsia="Arial" w:hAnsi="Arial"/>
                <w:sz w:val="18"/>
                <w:szCs w:val="18"/>
                <w:color w:val="auto"/>
                <w:w w:val="94"/>
              </w:rPr>
              <w:t>of Incorporation)</w:t>
            </w:r>
          </w:p>
        </w:tc>
        <w:tc>
          <w:tcPr>
            <w:tcW w:w="3380" w:type="dxa"/>
            <w:vAlign w:val="bottom"/>
          </w:tcPr>
          <w:p>
            <w:pPr>
              <w:jc w:val="center"/>
              <w:ind w:left="1950"/>
              <w:spacing w:after="0"/>
              <w:rPr>
                <w:sz w:val="20"/>
                <w:szCs w:val="20"/>
                <w:color w:val="auto"/>
              </w:rPr>
            </w:pPr>
            <w:r>
              <w:rPr>
                <w:rFonts w:ascii="Arial" w:cs="Arial" w:eastAsia="Arial" w:hAnsi="Arial"/>
                <w:sz w:val="18"/>
                <w:szCs w:val="18"/>
                <w:color w:val="auto"/>
                <w:w w:val="95"/>
              </w:rPr>
              <w:t>Identification No.)</w:t>
            </w:r>
          </w:p>
        </w:tc>
      </w:tr>
    </w:tbl>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1490 O’Brien Drive, Suite 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Menlo Park, California 94025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352-4150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125730</wp:posOffset>
            </wp:positionV>
            <wp:extent cx="18002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3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Brett A. Pletcher,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Forty Seven,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Gilead Sciences,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Lakeside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Foster City, CA 94404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650-574-3000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125730</wp:posOffset>
            </wp:positionV>
            <wp:extent cx="18002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362"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5260" w:type="dxa"/>
            <w:vAlign w:val="bottom"/>
          </w:tcPr>
          <w:p>
            <w:pPr>
              <w:ind w:left="360"/>
              <w:spacing w:after="0"/>
              <w:rPr>
                <w:sz w:val="20"/>
                <w:szCs w:val="20"/>
                <w:color w:val="auto"/>
              </w:rPr>
            </w:pPr>
            <w:r>
              <w:rPr>
                <w:rFonts w:ascii="Arial" w:cs="Arial" w:eastAsia="Arial" w:hAnsi="Arial"/>
                <w:sz w:val="18"/>
                <w:szCs w:val="18"/>
                <w:b w:val="1"/>
                <w:bCs w:val="1"/>
                <w:color w:val="auto"/>
              </w:rPr>
              <w:t>Copies to:</w:t>
            </w:r>
          </w:p>
        </w:tc>
      </w:tr>
      <w:tr>
        <w:trPr>
          <w:trHeight w:val="279"/>
        </w:trPr>
        <w:tc>
          <w:tcPr>
            <w:tcW w:w="378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Stephen F. Arcano</w:t>
            </w:r>
          </w:p>
        </w:tc>
        <w:tc>
          <w:tcPr>
            <w:tcW w:w="5260" w:type="dxa"/>
            <w:vAlign w:val="bottom"/>
          </w:tcPr>
          <w:p>
            <w:pPr>
              <w:jc w:val="center"/>
              <w:ind w:left="1750"/>
              <w:spacing w:after="0"/>
              <w:rPr>
                <w:sz w:val="20"/>
                <w:szCs w:val="20"/>
                <w:color w:val="auto"/>
              </w:rPr>
            </w:pPr>
            <w:r>
              <w:rPr>
                <w:rFonts w:ascii="Arial" w:cs="Arial" w:eastAsia="Arial" w:hAnsi="Arial"/>
                <w:sz w:val="18"/>
                <w:szCs w:val="18"/>
                <w:b w:val="1"/>
                <w:bCs w:val="1"/>
                <w:color w:val="auto"/>
                <w:w w:val="90"/>
              </w:rPr>
              <w:t>Graham Robinson</w:t>
            </w:r>
          </w:p>
        </w:tc>
      </w:tr>
      <w:tr>
        <w:trPr>
          <w:trHeight w:val="216"/>
        </w:trPr>
        <w:tc>
          <w:tcPr>
            <w:tcW w:w="3780" w:type="dxa"/>
            <w:vAlign w:val="bottom"/>
          </w:tcPr>
          <w:p>
            <w:pPr>
              <w:jc w:val="center"/>
              <w:ind w:right="270"/>
              <w:spacing w:after="0"/>
              <w:rPr>
                <w:sz w:val="20"/>
                <w:szCs w:val="20"/>
                <w:color w:val="auto"/>
              </w:rPr>
            </w:pPr>
            <w:r>
              <w:rPr>
                <w:rFonts w:ascii="Arial" w:cs="Arial" w:eastAsia="Arial" w:hAnsi="Arial"/>
                <w:sz w:val="18"/>
                <w:szCs w:val="18"/>
                <w:b w:val="1"/>
                <w:bCs w:val="1"/>
                <w:color w:val="auto"/>
                <w:w w:val="92"/>
              </w:rPr>
              <w:t>Skadden, Arps, Slate, Meagher &amp; Flom LLP</w:t>
            </w:r>
          </w:p>
        </w:tc>
        <w:tc>
          <w:tcPr>
            <w:tcW w:w="5260" w:type="dxa"/>
            <w:vAlign w:val="bottom"/>
          </w:tcPr>
          <w:p>
            <w:pPr>
              <w:jc w:val="center"/>
              <w:ind w:left="1750"/>
              <w:spacing w:after="0"/>
              <w:rPr>
                <w:sz w:val="20"/>
                <w:szCs w:val="20"/>
                <w:color w:val="auto"/>
              </w:rPr>
            </w:pPr>
            <w:r>
              <w:rPr>
                <w:rFonts w:ascii="Arial" w:cs="Arial" w:eastAsia="Arial" w:hAnsi="Arial"/>
                <w:sz w:val="18"/>
                <w:szCs w:val="18"/>
                <w:b w:val="1"/>
                <w:bCs w:val="1"/>
                <w:color w:val="auto"/>
                <w:w w:val="92"/>
              </w:rPr>
              <w:t>Skadden, Arps, Slate, Meagher &amp; Flom LLP</w:t>
            </w:r>
          </w:p>
        </w:tc>
      </w:tr>
      <w:tr>
        <w:trPr>
          <w:trHeight w:val="216"/>
        </w:trPr>
        <w:tc>
          <w:tcPr>
            <w:tcW w:w="378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One Manhattan West</w:t>
            </w:r>
          </w:p>
        </w:tc>
        <w:tc>
          <w:tcPr>
            <w:tcW w:w="5260" w:type="dxa"/>
            <w:vAlign w:val="bottom"/>
          </w:tcPr>
          <w:p>
            <w:pPr>
              <w:jc w:val="center"/>
              <w:ind w:left="1750"/>
              <w:spacing w:after="0"/>
              <w:rPr>
                <w:sz w:val="20"/>
                <w:szCs w:val="20"/>
                <w:color w:val="auto"/>
              </w:rPr>
            </w:pPr>
            <w:r>
              <w:rPr>
                <w:rFonts w:ascii="Arial" w:cs="Arial" w:eastAsia="Arial" w:hAnsi="Arial"/>
                <w:sz w:val="18"/>
                <w:szCs w:val="18"/>
                <w:b w:val="1"/>
                <w:bCs w:val="1"/>
                <w:color w:val="auto"/>
                <w:w w:val="89"/>
              </w:rPr>
              <w:t>500 Boylston Street</w:t>
            </w:r>
          </w:p>
        </w:tc>
      </w:tr>
      <w:tr>
        <w:trPr>
          <w:trHeight w:val="216"/>
        </w:trPr>
        <w:tc>
          <w:tcPr>
            <w:tcW w:w="378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New York, NY 10001</w:t>
            </w:r>
          </w:p>
        </w:tc>
        <w:tc>
          <w:tcPr>
            <w:tcW w:w="5260" w:type="dxa"/>
            <w:vAlign w:val="bottom"/>
          </w:tcPr>
          <w:p>
            <w:pPr>
              <w:jc w:val="center"/>
              <w:ind w:left="1750"/>
              <w:spacing w:after="0"/>
              <w:rPr>
                <w:sz w:val="20"/>
                <w:szCs w:val="20"/>
                <w:color w:val="auto"/>
              </w:rPr>
            </w:pPr>
            <w:r>
              <w:rPr>
                <w:rFonts w:ascii="Arial" w:cs="Arial" w:eastAsia="Arial" w:hAnsi="Arial"/>
                <w:sz w:val="18"/>
                <w:szCs w:val="18"/>
                <w:b w:val="1"/>
                <w:bCs w:val="1"/>
                <w:color w:val="auto"/>
                <w:w w:val="91"/>
              </w:rPr>
              <w:t>Boston, MA 02116</w:t>
            </w:r>
          </w:p>
        </w:tc>
      </w:tr>
      <w:tr>
        <w:trPr>
          <w:trHeight w:val="234"/>
        </w:trPr>
        <w:tc>
          <w:tcPr>
            <w:tcW w:w="378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(212) 735-3542</w:t>
            </w:r>
          </w:p>
        </w:tc>
        <w:tc>
          <w:tcPr>
            <w:tcW w:w="5260" w:type="dxa"/>
            <w:vAlign w:val="bottom"/>
          </w:tcPr>
          <w:p>
            <w:pPr>
              <w:jc w:val="center"/>
              <w:ind w:left="1750"/>
              <w:spacing w:after="0"/>
              <w:rPr>
                <w:sz w:val="20"/>
                <w:szCs w:val="20"/>
                <w:color w:val="auto"/>
              </w:rPr>
            </w:pPr>
            <w:r>
              <w:rPr>
                <w:rFonts w:ascii="Arial" w:cs="Arial" w:eastAsia="Arial" w:hAnsi="Arial"/>
                <w:sz w:val="18"/>
                <w:szCs w:val="18"/>
                <w:b w:val="1"/>
                <w:bCs w:val="1"/>
                <w:color w:val="auto"/>
                <w:w w:val="92"/>
              </w:rPr>
              <w:t>(617) 573-4850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120015</wp:posOffset>
            </wp:positionV>
            <wp:extent cx="18002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353" w:lineRule="exact"/>
        <w:rPr>
          <w:sz w:val="24"/>
          <w:szCs w:val="24"/>
          <w:color w:val="auto"/>
        </w:rPr>
      </w:pPr>
    </w:p>
    <w:p>
      <w:pPr>
        <w:ind w:right="340" w:firstLine="363"/>
        <w:spacing w:after="0" w:line="282"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Not applicable. Removal from registration of securities that were not sold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above referenced registration statement.</w:t>
      </w:r>
    </w:p>
    <w:p>
      <w:pPr>
        <w:spacing w:after="0" w:line="31" w:lineRule="exact"/>
        <w:rPr>
          <w:sz w:val="24"/>
          <w:szCs w:val="24"/>
          <w:color w:val="auto"/>
        </w:rPr>
      </w:pPr>
    </w:p>
    <w:p>
      <w:pPr>
        <w:ind w:right="260" w:firstLine="363"/>
        <w:spacing w:after="0" w:line="277" w:lineRule="auto"/>
        <w:rPr>
          <w:sz w:val="20"/>
          <w:szCs w:val="20"/>
          <w:color w:val="auto"/>
        </w:rPr>
      </w:pPr>
      <w:r>
        <w:rPr>
          <w:rFonts w:ascii="Arial" w:cs="Arial" w:eastAsia="Arial" w:hAnsi="Arial"/>
          <w:sz w:val="18"/>
          <w:szCs w:val="18"/>
          <w:color w:val="auto"/>
        </w:rPr>
        <w:t>If the only securities being registered on this Form are being offered pursuant to dividend or interest reinvestment plans, please check the following box. o</w:t>
      </w:r>
    </w:p>
    <w:p>
      <w:pPr>
        <w:spacing w:after="0" w:line="35" w:lineRule="exact"/>
        <w:rPr>
          <w:sz w:val="24"/>
          <w:szCs w:val="24"/>
          <w:color w:val="auto"/>
        </w:rPr>
      </w:pPr>
    </w:p>
    <w:p>
      <w:pPr>
        <w:ind w:right="160" w:firstLine="363"/>
        <w:spacing w:after="0" w:line="308" w:lineRule="auto"/>
        <w:rPr>
          <w:sz w:val="20"/>
          <w:szCs w:val="20"/>
          <w:color w:val="auto"/>
        </w:rPr>
      </w:pPr>
      <w:r>
        <w:rPr>
          <w:rFonts w:ascii="Arial" w:cs="Arial" w:eastAsia="Arial" w:hAnsi="Arial"/>
          <w:sz w:val="17"/>
          <w:szCs w:val="17"/>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o</w:t>
      </w:r>
    </w:p>
    <w:p>
      <w:pPr>
        <w:spacing w:after="0" w:line="11" w:lineRule="exact"/>
        <w:rPr>
          <w:sz w:val="24"/>
          <w:szCs w:val="24"/>
          <w:color w:val="auto"/>
        </w:rPr>
      </w:pPr>
    </w:p>
    <w:p>
      <w:pPr>
        <w:ind w:right="260" w:firstLine="363"/>
        <w:spacing w:after="0" w:line="308" w:lineRule="auto"/>
        <w:rPr>
          <w:sz w:val="20"/>
          <w:szCs w:val="20"/>
          <w:color w:val="auto"/>
        </w:rPr>
      </w:pPr>
      <w:r>
        <w:rPr>
          <w:rFonts w:ascii="Arial" w:cs="Arial" w:eastAsia="Arial" w:hAnsi="Arial"/>
          <w:sz w:val="17"/>
          <w:szCs w:val="17"/>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1" w:lineRule="exact"/>
        <w:rPr>
          <w:sz w:val="24"/>
          <w:szCs w:val="24"/>
          <w:color w:val="auto"/>
        </w:rPr>
      </w:pPr>
    </w:p>
    <w:p>
      <w:pPr>
        <w:ind w:right="180" w:firstLine="363"/>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35" w:lineRule="exact"/>
        <w:rPr>
          <w:sz w:val="24"/>
          <w:szCs w:val="24"/>
          <w:color w:val="auto"/>
        </w:rPr>
      </w:pPr>
    </w:p>
    <w:p>
      <w:pPr>
        <w:ind w:right="340" w:firstLine="363"/>
        <w:spacing w:after="0" w:line="277" w:lineRule="auto"/>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35" w:lineRule="exact"/>
        <w:rPr>
          <w:sz w:val="24"/>
          <w:szCs w:val="24"/>
          <w:color w:val="auto"/>
        </w:rPr>
      </w:pPr>
    </w:p>
    <w:p>
      <w:pPr>
        <w:ind w:right="80" w:firstLine="363"/>
        <w:spacing w:after="0" w:line="277"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35" w:lineRule="exact"/>
        <w:rPr>
          <w:sz w:val="24"/>
          <w:szCs w:val="24"/>
          <w:color w:val="auto"/>
        </w:rPr>
      </w:pPr>
    </w:p>
    <w:p>
      <w:pPr>
        <w:ind w:right="3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260" w:type="dxa"/>
            <w:vAlign w:val="bottom"/>
          </w:tcPr>
          <w:p>
            <w:pPr>
              <w:ind w:left="500"/>
              <w:spacing w:after="0"/>
              <w:rPr>
                <w:sz w:val="20"/>
                <w:szCs w:val="20"/>
                <w:color w:val="auto"/>
              </w:rPr>
            </w:pPr>
            <w:r>
              <w:rPr>
                <w:rFonts w:ascii="Arial" w:cs="Arial" w:eastAsia="Arial" w:hAnsi="Arial"/>
                <w:sz w:val="18"/>
                <w:szCs w:val="18"/>
                <w:color w:val="auto"/>
              </w:rPr>
              <w:t>o</w:t>
            </w:r>
          </w:p>
        </w:tc>
        <w:tc>
          <w:tcPr>
            <w:tcW w:w="518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1660" w:type="dxa"/>
            <w:vAlign w:val="bottom"/>
          </w:tcPr>
          <w:p>
            <w:pPr>
              <w:ind w:left="1580"/>
              <w:spacing w:after="0"/>
              <w:rPr>
                <w:sz w:val="20"/>
                <w:szCs w:val="20"/>
                <w:color w:val="auto"/>
              </w:rPr>
            </w:pPr>
            <w:r>
              <w:rPr>
                <w:rFonts w:ascii="Arial" w:cs="Arial" w:eastAsia="Arial" w:hAnsi="Arial"/>
                <w:sz w:val="17"/>
                <w:szCs w:val="17"/>
                <w:color w:val="auto"/>
                <w:w w:val="70"/>
              </w:rPr>
              <w:t>x</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2260" w:type="dxa"/>
            <w:vAlign w:val="bottom"/>
          </w:tcPr>
          <w:p>
            <w:pPr>
              <w:ind w:left="500"/>
              <w:spacing w:after="0"/>
              <w:rPr>
                <w:sz w:val="20"/>
                <w:szCs w:val="20"/>
                <w:color w:val="auto"/>
              </w:rPr>
            </w:pPr>
            <w:r>
              <w:rPr>
                <w:rFonts w:ascii="Arial" w:cs="Arial" w:eastAsia="Arial" w:hAnsi="Arial"/>
                <w:sz w:val="18"/>
                <w:szCs w:val="18"/>
                <w:color w:val="auto"/>
              </w:rPr>
              <w:t>o</w:t>
            </w:r>
          </w:p>
        </w:tc>
        <w:tc>
          <w:tcPr>
            <w:tcW w:w="518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1660" w:type="dxa"/>
            <w:vAlign w:val="bottom"/>
          </w:tcPr>
          <w:p>
            <w:pPr>
              <w:ind w:left="1580"/>
              <w:spacing w:after="0"/>
              <w:rPr>
                <w:sz w:val="20"/>
                <w:szCs w:val="20"/>
                <w:color w:val="auto"/>
              </w:rPr>
            </w:pPr>
            <w:r>
              <w:rPr>
                <w:rFonts w:ascii="Arial" w:cs="Arial" w:eastAsia="Arial" w:hAnsi="Arial"/>
                <w:sz w:val="17"/>
                <w:szCs w:val="17"/>
                <w:color w:val="auto"/>
                <w:w w:val="70"/>
              </w:rPr>
              <w:t>x</w:t>
            </w:r>
          </w:p>
        </w:tc>
      </w:tr>
      <w:tr>
        <w:trPr>
          <w:trHeight w:val="230"/>
        </w:trPr>
        <w:tc>
          <w:tcPr>
            <w:tcW w:w="21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180" w:type="dxa"/>
            <w:vAlign w:val="bottom"/>
          </w:tcPr>
          <w:p>
            <w:pPr>
              <w:ind w:left="1660"/>
              <w:spacing w:after="0"/>
              <w:rPr>
                <w:sz w:val="20"/>
                <w:szCs w:val="20"/>
                <w:color w:val="auto"/>
              </w:rPr>
            </w:pPr>
            <w:r>
              <w:rPr>
                <w:rFonts w:ascii="Arial" w:cs="Arial" w:eastAsia="Arial" w:hAnsi="Arial"/>
                <w:sz w:val="18"/>
                <w:szCs w:val="18"/>
                <w:color w:val="auto"/>
              </w:rPr>
              <w:t>Emerging growth company</w:t>
            </w:r>
          </w:p>
        </w:tc>
        <w:tc>
          <w:tcPr>
            <w:tcW w:w="1660" w:type="dxa"/>
            <w:vAlign w:val="bottom"/>
          </w:tcPr>
          <w:p>
            <w:pPr>
              <w:ind w:left="1580"/>
              <w:spacing w:after="0"/>
              <w:rPr>
                <w:sz w:val="20"/>
                <w:szCs w:val="20"/>
                <w:color w:val="auto"/>
              </w:rPr>
            </w:pPr>
            <w:r>
              <w:rPr>
                <w:rFonts w:ascii="Arial" w:cs="Arial" w:eastAsia="Arial" w:hAnsi="Arial"/>
                <w:sz w:val="17"/>
                <w:szCs w:val="17"/>
                <w:color w:val="auto"/>
                <w:w w:val="70"/>
              </w:rPr>
              <w:t>x</w:t>
            </w:r>
          </w:p>
        </w:tc>
      </w:tr>
    </w:tbl>
    <w:p>
      <w:pPr>
        <w:spacing w:after="0" w:line="67"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226695</wp:posOffset>
            </wp:positionV>
            <wp:extent cx="71532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229" w:right="339" w:bottom="658"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DEREGISTRATION OF SECURITIES</w:t>
      </w:r>
    </w:p>
    <w:p>
      <w:pPr>
        <w:spacing w:after="0" w:line="229"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This post-effective amendment relates to the following Registration Statement of Forty Seven, Inc. (the “Company”) on Form S-3 (the “Registration Statement”):</w:t>
      </w:r>
    </w:p>
    <w:p>
      <w:pPr>
        <w:spacing w:after="0" w:line="170" w:lineRule="exact"/>
        <w:rPr>
          <w:sz w:val="20"/>
          <w:szCs w:val="20"/>
          <w:color w:val="auto"/>
        </w:rPr>
      </w:pPr>
    </w:p>
    <w:p>
      <w:pPr>
        <w:ind w:left="1300" w:hanging="320"/>
        <w:spacing w:after="0" w:line="342" w:lineRule="auto"/>
        <w:tabs>
          <w:tab w:leader="none" w:pos="1264" w:val="left"/>
        </w:tabs>
        <w:numPr>
          <w:ilvl w:val="0"/>
          <w:numId w:val="1"/>
        </w:numPr>
        <w:rPr>
          <w:rFonts w:ascii="Arial" w:cs="Arial" w:eastAsia="Arial" w:hAnsi="Arial"/>
          <w:sz w:val="16"/>
          <w:szCs w:val="16"/>
          <w:color w:val="auto"/>
        </w:rPr>
      </w:pPr>
      <w:r>
        <w:rPr>
          <w:rFonts w:ascii="Arial" w:cs="Arial" w:eastAsia="Arial" w:hAnsi="Arial"/>
          <w:sz w:val="16"/>
          <w:szCs w:val="16"/>
          <w:color w:val="auto"/>
        </w:rPr>
        <w:t>Registration Statement on Form S-3 (File No. 333-235458), registering up to $32,000,000 in aggregate offering price of shares of common stock of the Company, par value $0.0001 per share, filed with the Securities and Exchange Commission on December 11, 2019.</w:t>
      </w:r>
    </w:p>
    <w:p>
      <w:pPr>
        <w:spacing w:after="0" w:line="124" w:lineRule="exact"/>
        <w:rPr>
          <w:sz w:val="20"/>
          <w:szCs w:val="20"/>
          <w:color w:val="auto"/>
        </w:rPr>
      </w:pPr>
    </w:p>
    <w:p>
      <w:pPr>
        <w:ind w:right="640" w:firstLine="648"/>
        <w:spacing w:after="0" w:line="311" w:lineRule="auto"/>
        <w:rPr>
          <w:sz w:val="20"/>
          <w:szCs w:val="20"/>
          <w:color w:val="auto"/>
        </w:rPr>
      </w:pPr>
      <w:r>
        <w:rPr>
          <w:rFonts w:ascii="Arial" w:cs="Arial" w:eastAsia="Arial" w:hAnsi="Arial"/>
          <w:sz w:val="16"/>
          <w:szCs w:val="16"/>
          <w:color w:val="auto"/>
        </w:rPr>
        <w:t>On April 7, 2020, pursuant to that certain Agreement and Plan of Merger, dated as of March 1, 2020, by and among the Company, Gilead Sciences, Inc., a Delaware corporation (“Parent”), and Toro Merger Sub, Inc., a Delaware corporation and a wholly-owned subsidiary of Parent (“Purchaser”), Purchaser merged with and into the Company, with the Company surviving as a wholly owned subsidiary of Parent (the “Merger”).</w:t>
      </w:r>
    </w:p>
    <w:p>
      <w:pPr>
        <w:spacing w:after="0" w:line="14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As a result of the Merger, by filing this post-effective amendment, the Company has terminated any and all offerings of its securities pursuant to the Registration Statement. Accordingly, the Company hereby terminates the effectiveness of the Registration Statement and removes from registration any and all securities of the Company registered but unsold under the Registration Statement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1532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post-effective amendment to be signed on its behalf by the undersigned, thereunto duly authorized, in the City of Foster City, State of California, on April 7, 2020.</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FORTY SEVEN, INC.</w:t>
      </w:r>
    </w:p>
    <w:p>
      <w:pPr>
        <w:spacing w:after="0" w:line="225"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Brett A. Pletcher</w:t>
      </w:r>
    </w:p>
    <w:p>
      <w:pPr>
        <w:spacing w:after="0" w:line="23" w:lineRule="exact"/>
        <w:rPr>
          <w:sz w:val="20"/>
          <w:szCs w:val="20"/>
          <w:color w:val="auto"/>
        </w:rPr>
      </w:pPr>
    </w:p>
    <w:tbl>
      <w:tblPr>
        <w:tblLayout w:type="fixed"/>
        <w:tblInd w:w="6060" w:type="dxa"/>
        <w:tblCellMar>
          <w:top w:w="0" w:type="dxa"/>
          <w:left w:w="0" w:type="dxa"/>
          <w:bottom w:w="0" w:type="dxa"/>
          <w:right w:w="0" w:type="dxa"/>
        </w:tblCellMar>
      </w:tblP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Brett A. Pletcher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rPr>
              <w:t>Secretary and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other person is required to sign this Post-Effective Amendment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2020-04-07T07:51:13Z</dcterms:created>
  <dcterms:modified xsi:type="dcterms:W3CDTF">2020-04-07T07:51:13Z</dcterms:modified>
</cp:coreProperties>
</file>