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April 7, 2020</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333-225958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333-230585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210185</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ind w:left="1460"/>
        <w:spacing w:after="0"/>
        <w:rPr>
          <w:sz w:val="20"/>
          <w:szCs w:val="20"/>
          <w:color w:val="auto"/>
        </w:rPr>
      </w:pPr>
      <w:r>
        <w:rPr>
          <w:rFonts w:ascii="Arial" w:cs="Arial" w:eastAsia="Arial" w:hAnsi="Arial"/>
          <w:sz w:val="18"/>
          <w:szCs w:val="18"/>
          <w:b w:val="1"/>
          <w:bCs w:val="1"/>
          <w:color w:val="auto"/>
        </w:rPr>
        <w:t>POST-EFFECTIVE AMENDMENT NO. 1 TO FORM S-8 REGISTRATION STATEMENT NO. 333-225958</w:t>
      </w:r>
    </w:p>
    <w:p>
      <w:pPr>
        <w:spacing w:after="0" w:line="27" w:lineRule="exact"/>
        <w:rPr>
          <w:sz w:val="24"/>
          <w:szCs w:val="24"/>
          <w:color w:val="auto"/>
        </w:rPr>
      </w:pPr>
    </w:p>
    <w:p>
      <w:pPr>
        <w:ind w:left="1460"/>
        <w:spacing w:after="0"/>
        <w:rPr>
          <w:sz w:val="20"/>
          <w:szCs w:val="20"/>
          <w:color w:val="auto"/>
        </w:rPr>
      </w:pPr>
      <w:r>
        <w:rPr>
          <w:rFonts w:ascii="Arial" w:cs="Arial" w:eastAsia="Arial" w:hAnsi="Arial"/>
          <w:sz w:val="18"/>
          <w:szCs w:val="18"/>
          <w:b w:val="1"/>
          <w:bCs w:val="1"/>
          <w:color w:val="auto"/>
        </w:rPr>
        <w:t>POST-EFFECTIVE AMENDMENT NO. 1 TO FORM S-8 REGISTRATION STATEMENT NO. 333-230585</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216535</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FORTY SEVEN,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210185</wp:posOffset>
            </wp:positionV>
            <wp:extent cx="1800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1300" w:type="dxa"/>
        <w:tblCellMar>
          <w:top w:w="0" w:type="dxa"/>
          <w:left w:w="0" w:type="dxa"/>
          <w:bottom w:w="0" w:type="dxa"/>
          <w:right w:w="0" w:type="dxa"/>
        </w:tblCellMar>
      </w:tblPr>
      <w:tr>
        <w:trPr>
          <w:trHeight w:val="220"/>
        </w:trPr>
        <w:tc>
          <w:tcPr>
            <w:tcW w:w="4720" w:type="dxa"/>
            <w:vAlign w:val="bottom"/>
          </w:tcPr>
          <w:p>
            <w:pPr>
              <w:jc w:val="center"/>
              <w:ind w:right="1710"/>
              <w:spacing w:after="0"/>
              <w:rPr>
                <w:sz w:val="20"/>
                <w:szCs w:val="20"/>
                <w:color w:val="auto"/>
              </w:rPr>
            </w:pPr>
            <w:r>
              <w:rPr>
                <w:rFonts w:ascii="Arial" w:cs="Arial" w:eastAsia="Arial" w:hAnsi="Arial"/>
                <w:sz w:val="18"/>
                <w:szCs w:val="18"/>
                <w:b w:val="1"/>
                <w:bCs w:val="1"/>
                <w:color w:val="auto"/>
                <w:w w:val="91"/>
              </w:rPr>
              <w:t>Delaware</w:t>
            </w:r>
          </w:p>
        </w:tc>
        <w:tc>
          <w:tcPr>
            <w:tcW w:w="3140" w:type="dxa"/>
            <w:vAlign w:val="bottom"/>
          </w:tcPr>
          <w:p>
            <w:pPr>
              <w:jc w:val="right"/>
              <w:ind w:right="150"/>
              <w:spacing w:after="0"/>
              <w:rPr>
                <w:sz w:val="20"/>
                <w:szCs w:val="20"/>
                <w:color w:val="auto"/>
              </w:rPr>
            </w:pPr>
            <w:r>
              <w:rPr>
                <w:rFonts w:ascii="Arial" w:cs="Arial" w:eastAsia="Arial" w:hAnsi="Arial"/>
                <w:sz w:val="18"/>
                <w:szCs w:val="18"/>
                <w:b w:val="1"/>
                <w:bCs w:val="1"/>
                <w:color w:val="auto"/>
              </w:rPr>
              <w:t>47-4065674</w:t>
            </w:r>
          </w:p>
        </w:tc>
      </w:tr>
      <w:tr>
        <w:trPr>
          <w:trHeight w:val="216"/>
        </w:trPr>
        <w:tc>
          <w:tcPr>
            <w:tcW w:w="4720" w:type="dxa"/>
            <w:vAlign w:val="bottom"/>
          </w:tcPr>
          <w:p>
            <w:pPr>
              <w:jc w:val="center"/>
              <w:ind w:right="1710"/>
              <w:spacing w:after="0"/>
              <w:rPr>
                <w:sz w:val="20"/>
                <w:szCs w:val="20"/>
                <w:color w:val="auto"/>
              </w:rPr>
            </w:pPr>
            <w:r>
              <w:rPr>
                <w:rFonts w:ascii="Arial" w:cs="Arial" w:eastAsia="Arial" w:hAnsi="Arial"/>
                <w:sz w:val="18"/>
                <w:szCs w:val="18"/>
                <w:color w:val="auto"/>
                <w:w w:val="91"/>
              </w:rPr>
              <w:t>(State or Other Jurisdiction</w:t>
            </w:r>
          </w:p>
        </w:tc>
        <w:tc>
          <w:tcPr>
            <w:tcW w:w="3140" w:type="dxa"/>
            <w:vAlign w:val="bottom"/>
          </w:tcPr>
          <w:p>
            <w:pPr>
              <w:jc w:val="center"/>
              <w:ind w:left="1710"/>
              <w:spacing w:after="0"/>
              <w:rPr>
                <w:sz w:val="20"/>
                <w:szCs w:val="20"/>
                <w:color w:val="auto"/>
              </w:rPr>
            </w:pPr>
            <w:r>
              <w:rPr>
                <w:rFonts w:ascii="Arial" w:cs="Arial" w:eastAsia="Arial" w:hAnsi="Arial"/>
                <w:sz w:val="18"/>
                <w:szCs w:val="18"/>
                <w:color w:val="auto"/>
                <w:w w:val="93"/>
              </w:rPr>
              <w:t>(IRS Employer</w:t>
            </w:r>
          </w:p>
        </w:tc>
      </w:tr>
      <w:tr>
        <w:trPr>
          <w:trHeight w:val="230"/>
        </w:trPr>
        <w:tc>
          <w:tcPr>
            <w:tcW w:w="4720" w:type="dxa"/>
            <w:vAlign w:val="bottom"/>
          </w:tcPr>
          <w:p>
            <w:pPr>
              <w:jc w:val="center"/>
              <w:ind w:right="1710"/>
              <w:spacing w:after="0"/>
              <w:rPr>
                <w:sz w:val="20"/>
                <w:szCs w:val="20"/>
                <w:color w:val="auto"/>
              </w:rPr>
            </w:pPr>
            <w:r>
              <w:rPr>
                <w:rFonts w:ascii="Arial" w:cs="Arial" w:eastAsia="Arial" w:hAnsi="Arial"/>
                <w:sz w:val="18"/>
                <w:szCs w:val="18"/>
                <w:color w:val="auto"/>
                <w:w w:val="94"/>
              </w:rPr>
              <w:t>of Incorporation)</w:t>
            </w:r>
          </w:p>
        </w:tc>
        <w:tc>
          <w:tcPr>
            <w:tcW w:w="3140" w:type="dxa"/>
            <w:vAlign w:val="bottom"/>
          </w:tcPr>
          <w:p>
            <w:pPr>
              <w:jc w:val="center"/>
              <w:ind w:left="17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720" w:type="dxa"/>
            <w:vAlign w:val="bottom"/>
          </w:tcPr>
          <w:p>
            <w:pPr>
              <w:jc w:val="center"/>
              <w:ind w:right="1710"/>
              <w:spacing w:after="0"/>
              <w:rPr>
                <w:sz w:val="20"/>
                <w:szCs w:val="20"/>
                <w:color w:val="auto"/>
              </w:rPr>
            </w:pPr>
            <w:r>
              <w:rPr>
                <w:rFonts w:ascii="Arial" w:cs="Arial" w:eastAsia="Arial" w:hAnsi="Arial"/>
                <w:sz w:val="18"/>
                <w:szCs w:val="18"/>
                <w:b w:val="1"/>
                <w:bCs w:val="1"/>
                <w:color w:val="auto"/>
                <w:w w:val="93"/>
              </w:rPr>
              <w:t>1490 O’Brien Drive, Suite A</w:t>
            </w:r>
          </w:p>
        </w:tc>
        <w:tc>
          <w:tcPr>
            <w:tcW w:w="3140" w:type="dxa"/>
            <w:vAlign w:val="bottom"/>
          </w:tcPr>
          <w:p>
            <w:pPr>
              <w:spacing w:after="0"/>
              <w:rPr>
                <w:sz w:val="24"/>
                <w:szCs w:val="24"/>
                <w:color w:val="auto"/>
              </w:rPr>
            </w:pPr>
          </w:p>
        </w:tc>
      </w:tr>
      <w:tr>
        <w:trPr>
          <w:trHeight w:val="220"/>
        </w:trPr>
        <w:tc>
          <w:tcPr>
            <w:tcW w:w="4720" w:type="dxa"/>
            <w:vAlign w:val="bottom"/>
          </w:tcPr>
          <w:p>
            <w:pPr>
              <w:jc w:val="center"/>
              <w:ind w:right="1710"/>
              <w:spacing w:after="0"/>
              <w:rPr>
                <w:sz w:val="20"/>
                <w:szCs w:val="20"/>
                <w:color w:val="auto"/>
              </w:rPr>
            </w:pPr>
            <w:r>
              <w:rPr>
                <w:rFonts w:ascii="Arial" w:cs="Arial" w:eastAsia="Arial" w:hAnsi="Arial"/>
                <w:sz w:val="18"/>
                <w:szCs w:val="18"/>
                <w:b w:val="1"/>
                <w:bCs w:val="1"/>
                <w:color w:val="auto"/>
                <w:w w:val="95"/>
              </w:rPr>
              <w:t>Menlo Park, California</w:t>
            </w:r>
          </w:p>
        </w:tc>
        <w:tc>
          <w:tcPr>
            <w:tcW w:w="3140" w:type="dxa"/>
            <w:vAlign w:val="bottom"/>
          </w:tcPr>
          <w:p>
            <w:pPr>
              <w:jc w:val="right"/>
              <w:ind w:right="350"/>
              <w:spacing w:after="0"/>
              <w:rPr>
                <w:sz w:val="20"/>
                <w:szCs w:val="20"/>
                <w:color w:val="auto"/>
              </w:rPr>
            </w:pPr>
            <w:r>
              <w:rPr>
                <w:rFonts w:ascii="Arial" w:cs="Arial" w:eastAsia="Arial" w:hAnsi="Arial"/>
                <w:sz w:val="18"/>
                <w:szCs w:val="18"/>
                <w:b w:val="1"/>
                <w:bCs w:val="1"/>
                <w:color w:val="auto"/>
              </w:rPr>
              <w:t>94025</w:t>
            </w:r>
          </w:p>
        </w:tc>
      </w:tr>
      <w:tr>
        <w:trPr>
          <w:trHeight w:val="230"/>
        </w:trPr>
        <w:tc>
          <w:tcPr>
            <w:tcW w:w="4720" w:type="dxa"/>
            <w:vAlign w:val="bottom"/>
          </w:tcPr>
          <w:p>
            <w:pPr>
              <w:jc w:val="center"/>
              <w:ind w:right="1710"/>
              <w:spacing w:after="0"/>
              <w:rPr>
                <w:sz w:val="20"/>
                <w:szCs w:val="20"/>
                <w:color w:val="auto"/>
              </w:rPr>
            </w:pPr>
            <w:r>
              <w:rPr>
                <w:rFonts w:ascii="Arial" w:cs="Arial" w:eastAsia="Arial" w:hAnsi="Arial"/>
                <w:sz w:val="18"/>
                <w:szCs w:val="18"/>
                <w:color w:val="auto"/>
                <w:w w:val="92"/>
              </w:rPr>
              <w:t>(Address of Principal Executive Offices)</w:t>
            </w:r>
          </w:p>
        </w:tc>
        <w:tc>
          <w:tcPr>
            <w:tcW w:w="3140" w:type="dxa"/>
            <w:vAlign w:val="bottom"/>
          </w:tcPr>
          <w:p>
            <w:pPr>
              <w:jc w:val="center"/>
              <w:ind w:left="173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Forty Seven, Inc. 2015 Equity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Forty Seven, Inc. 2018 Equity Incentive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Forty Seven, Inc. 2018 Employee Stock Purchase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plan)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Brett A. Pletcher,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Forty Seven,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Gilead Sciences,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Lakeside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Foster City, CA 94404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650-574-3000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20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5260" w:type="dxa"/>
            <w:vAlign w:val="bottom"/>
          </w:tcPr>
          <w:p>
            <w:pPr>
              <w:ind w:left="360"/>
              <w:spacing w:after="0"/>
              <w:rPr>
                <w:sz w:val="20"/>
                <w:szCs w:val="20"/>
                <w:color w:val="auto"/>
              </w:rPr>
            </w:pPr>
            <w:r>
              <w:rPr>
                <w:rFonts w:ascii="Arial" w:cs="Arial" w:eastAsia="Arial" w:hAnsi="Arial"/>
                <w:sz w:val="18"/>
                <w:szCs w:val="18"/>
                <w:b w:val="1"/>
                <w:bCs w:val="1"/>
                <w:color w:val="auto"/>
              </w:rPr>
              <w:t>Copies to:</w:t>
            </w:r>
          </w:p>
        </w:tc>
      </w:tr>
      <w:tr>
        <w:trPr>
          <w:trHeight w:val="414"/>
        </w:trPr>
        <w:tc>
          <w:tcPr>
            <w:tcW w:w="378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Stephen F. Arcano</w:t>
            </w:r>
          </w:p>
        </w:tc>
        <w:tc>
          <w:tcPr>
            <w:tcW w:w="5260" w:type="dxa"/>
            <w:vAlign w:val="bottom"/>
          </w:tcPr>
          <w:p>
            <w:pPr>
              <w:jc w:val="center"/>
              <w:ind w:left="1750"/>
              <w:spacing w:after="0"/>
              <w:rPr>
                <w:sz w:val="20"/>
                <w:szCs w:val="20"/>
                <w:color w:val="auto"/>
              </w:rPr>
            </w:pPr>
            <w:r>
              <w:rPr>
                <w:rFonts w:ascii="Arial" w:cs="Arial" w:eastAsia="Arial" w:hAnsi="Arial"/>
                <w:sz w:val="18"/>
                <w:szCs w:val="18"/>
                <w:b w:val="1"/>
                <w:bCs w:val="1"/>
                <w:color w:val="auto"/>
                <w:w w:val="90"/>
              </w:rPr>
              <w:t>Graham Robinson</w:t>
            </w:r>
          </w:p>
        </w:tc>
      </w:tr>
      <w:tr>
        <w:trPr>
          <w:trHeight w:val="216"/>
        </w:trPr>
        <w:tc>
          <w:tcPr>
            <w:tcW w:w="3780" w:type="dxa"/>
            <w:vAlign w:val="bottom"/>
          </w:tcPr>
          <w:p>
            <w:pPr>
              <w:jc w:val="center"/>
              <w:ind w:right="270"/>
              <w:spacing w:after="0"/>
              <w:rPr>
                <w:sz w:val="20"/>
                <w:szCs w:val="20"/>
                <w:color w:val="auto"/>
              </w:rPr>
            </w:pPr>
            <w:r>
              <w:rPr>
                <w:rFonts w:ascii="Arial" w:cs="Arial" w:eastAsia="Arial" w:hAnsi="Arial"/>
                <w:sz w:val="18"/>
                <w:szCs w:val="18"/>
                <w:b w:val="1"/>
                <w:bCs w:val="1"/>
                <w:color w:val="auto"/>
                <w:w w:val="92"/>
              </w:rPr>
              <w:t>Skadden, Arps, Slate, Meagher &amp; Flom LLP</w:t>
            </w:r>
          </w:p>
        </w:tc>
        <w:tc>
          <w:tcPr>
            <w:tcW w:w="5260" w:type="dxa"/>
            <w:vAlign w:val="bottom"/>
          </w:tcPr>
          <w:p>
            <w:pPr>
              <w:jc w:val="center"/>
              <w:ind w:left="1750"/>
              <w:spacing w:after="0"/>
              <w:rPr>
                <w:sz w:val="20"/>
                <w:szCs w:val="20"/>
                <w:color w:val="auto"/>
              </w:rPr>
            </w:pPr>
            <w:r>
              <w:rPr>
                <w:rFonts w:ascii="Arial" w:cs="Arial" w:eastAsia="Arial" w:hAnsi="Arial"/>
                <w:sz w:val="18"/>
                <w:szCs w:val="18"/>
                <w:b w:val="1"/>
                <w:bCs w:val="1"/>
                <w:color w:val="auto"/>
                <w:w w:val="92"/>
              </w:rPr>
              <w:t>Skadden, Arps, Slate, Meagher &amp; Flom LLP</w:t>
            </w:r>
          </w:p>
        </w:tc>
      </w:tr>
      <w:tr>
        <w:trPr>
          <w:trHeight w:val="216"/>
        </w:trPr>
        <w:tc>
          <w:tcPr>
            <w:tcW w:w="378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One Manhattan West</w:t>
            </w:r>
          </w:p>
        </w:tc>
        <w:tc>
          <w:tcPr>
            <w:tcW w:w="5260" w:type="dxa"/>
            <w:vAlign w:val="bottom"/>
          </w:tcPr>
          <w:p>
            <w:pPr>
              <w:jc w:val="center"/>
              <w:ind w:left="1750"/>
              <w:spacing w:after="0"/>
              <w:rPr>
                <w:sz w:val="20"/>
                <w:szCs w:val="20"/>
                <w:color w:val="auto"/>
              </w:rPr>
            </w:pPr>
            <w:r>
              <w:rPr>
                <w:rFonts w:ascii="Arial" w:cs="Arial" w:eastAsia="Arial" w:hAnsi="Arial"/>
                <w:sz w:val="18"/>
                <w:szCs w:val="18"/>
                <w:b w:val="1"/>
                <w:bCs w:val="1"/>
                <w:color w:val="auto"/>
                <w:w w:val="89"/>
              </w:rPr>
              <w:t>500 Boylston Street</w:t>
            </w:r>
          </w:p>
        </w:tc>
      </w:tr>
      <w:tr>
        <w:trPr>
          <w:trHeight w:val="216"/>
        </w:trPr>
        <w:tc>
          <w:tcPr>
            <w:tcW w:w="378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New York, NY 10001</w:t>
            </w:r>
          </w:p>
        </w:tc>
        <w:tc>
          <w:tcPr>
            <w:tcW w:w="5260" w:type="dxa"/>
            <w:vAlign w:val="bottom"/>
          </w:tcPr>
          <w:p>
            <w:pPr>
              <w:jc w:val="center"/>
              <w:ind w:left="1750"/>
              <w:spacing w:after="0"/>
              <w:rPr>
                <w:sz w:val="20"/>
                <w:szCs w:val="20"/>
                <w:color w:val="auto"/>
              </w:rPr>
            </w:pPr>
            <w:r>
              <w:rPr>
                <w:rFonts w:ascii="Arial" w:cs="Arial" w:eastAsia="Arial" w:hAnsi="Arial"/>
                <w:sz w:val="18"/>
                <w:szCs w:val="18"/>
                <w:b w:val="1"/>
                <w:bCs w:val="1"/>
                <w:color w:val="auto"/>
                <w:w w:val="91"/>
              </w:rPr>
              <w:t>Boston, MA 02116</w:t>
            </w:r>
          </w:p>
        </w:tc>
      </w:tr>
      <w:tr>
        <w:trPr>
          <w:trHeight w:val="234"/>
        </w:trPr>
        <w:tc>
          <w:tcPr>
            <w:tcW w:w="378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(212) 735-3542</w:t>
            </w:r>
          </w:p>
        </w:tc>
        <w:tc>
          <w:tcPr>
            <w:tcW w:w="5260" w:type="dxa"/>
            <w:vAlign w:val="bottom"/>
          </w:tcPr>
          <w:p>
            <w:pPr>
              <w:jc w:val="center"/>
              <w:ind w:left="1750"/>
              <w:spacing w:after="0"/>
              <w:rPr>
                <w:sz w:val="20"/>
                <w:szCs w:val="20"/>
                <w:color w:val="auto"/>
              </w:rPr>
            </w:pPr>
            <w:r>
              <w:rPr>
                <w:rFonts w:ascii="Arial" w:cs="Arial" w:eastAsia="Arial" w:hAnsi="Arial"/>
                <w:sz w:val="18"/>
                <w:szCs w:val="18"/>
                <w:b w:val="1"/>
                <w:bCs w:val="1"/>
                <w:color w:val="auto"/>
                <w:w w:val="92"/>
              </w:rPr>
              <w:t>(617) 573-4850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205740</wp:posOffset>
            </wp:positionV>
            <wp:extent cx="18002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3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60" w:type="dxa"/>
            <w:vAlign w:val="bottom"/>
          </w:tcPr>
          <w:p>
            <w:pPr>
              <w:ind w:left="460"/>
              <w:spacing w:after="0"/>
              <w:rPr>
                <w:sz w:val="20"/>
                <w:szCs w:val="20"/>
                <w:color w:val="auto"/>
              </w:rPr>
            </w:pPr>
            <w:r>
              <w:rPr>
                <w:rFonts w:ascii="Arial" w:cs="Arial" w:eastAsia="Arial" w:hAnsi="Arial"/>
                <w:sz w:val="18"/>
                <w:szCs w:val="18"/>
                <w:color w:val="auto"/>
              </w:rPr>
              <w:t>o</w:t>
            </w:r>
          </w:p>
        </w:tc>
        <w:tc>
          <w:tcPr>
            <w:tcW w:w="5240" w:type="dxa"/>
            <w:vAlign w:val="bottom"/>
          </w:tcPr>
          <w:p>
            <w:pPr>
              <w:ind w:left="1520"/>
              <w:spacing w:after="0"/>
              <w:rPr>
                <w:sz w:val="20"/>
                <w:szCs w:val="20"/>
                <w:color w:val="auto"/>
              </w:rPr>
            </w:pPr>
            <w:r>
              <w:rPr>
                <w:rFonts w:ascii="Arial" w:cs="Arial" w:eastAsia="Arial" w:hAnsi="Arial"/>
                <w:sz w:val="18"/>
                <w:szCs w:val="18"/>
                <w:color w:val="auto"/>
              </w:rPr>
              <w:t>Accelerated filer</w:t>
            </w:r>
          </w:p>
        </w:tc>
        <w:tc>
          <w:tcPr>
            <w:tcW w:w="1860" w:type="dxa"/>
            <w:vAlign w:val="bottom"/>
          </w:tcPr>
          <w:p>
            <w:pPr>
              <w:ind w:left="1780"/>
              <w:spacing w:after="0"/>
              <w:rPr>
                <w:sz w:val="20"/>
                <w:szCs w:val="20"/>
                <w:color w:val="auto"/>
              </w:rPr>
            </w:pPr>
            <w:r>
              <w:rPr>
                <w:rFonts w:ascii="Arial" w:cs="Arial" w:eastAsia="Arial" w:hAnsi="Arial"/>
                <w:sz w:val="17"/>
                <w:szCs w:val="17"/>
                <w:color w:val="auto"/>
                <w:w w:val="70"/>
              </w:rPr>
              <w:t>x</w:t>
            </w:r>
          </w:p>
        </w:tc>
      </w:tr>
      <w:tr>
        <w:trPr>
          <w:trHeight w:val="432"/>
        </w:trPr>
        <w:tc>
          <w:tcPr>
            <w:tcW w:w="2080" w:type="dxa"/>
            <w:vAlign w:val="bottom"/>
          </w:tcPr>
          <w:p>
            <w:pPr>
              <w:spacing w:after="0"/>
              <w:rPr>
                <w:sz w:val="20"/>
                <w:szCs w:val="20"/>
                <w:color w:val="auto"/>
              </w:rPr>
            </w:pPr>
            <w:r>
              <w:rPr>
                <w:rFonts w:ascii="Arial" w:cs="Arial" w:eastAsia="Arial" w:hAnsi="Arial"/>
                <w:sz w:val="18"/>
                <w:szCs w:val="18"/>
                <w:color w:val="auto"/>
              </w:rPr>
              <w:t>Non-accelerated filer</w:t>
            </w:r>
          </w:p>
        </w:tc>
        <w:tc>
          <w:tcPr>
            <w:tcW w:w="2060" w:type="dxa"/>
            <w:vAlign w:val="bottom"/>
          </w:tcPr>
          <w:p>
            <w:pPr>
              <w:ind w:left="460"/>
              <w:spacing w:after="0"/>
              <w:rPr>
                <w:sz w:val="20"/>
                <w:szCs w:val="20"/>
                <w:color w:val="auto"/>
              </w:rPr>
            </w:pPr>
            <w:r>
              <w:rPr>
                <w:rFonts w:ascii="Arial" w:cs="Arial" w:eastAsia="Arial" w:hAnsi="Arial"/>
                <w:sz w:val="18"/>
                <w:szCs w:val="18"/>
                <w:color w:val="auto"/>
              </w:rPr>
              <w:t>o</w:t>
            </w:r>
          </w:p>
        </w:tc>
        <w:tc>
          <w:tcPr>
            <w:tcW w:w="5240" w:type="dxa"/>
            <w:vAlign w:val="bottom"/>
          </w:tcPr>
          <w:p>
            <w:pPr>
              <w:ind w:left="1520"/>
              <w:spacing w:after="0"/>
              <w:rPr>
                <w:sz w:val="20"/>
                <w:szCs w:val="20"/>
                <w:color w:val="auto"/>
              </w:rPr>
            </w:pPr>
            <w:r>
              <w:rPr>
                <w:rFonts w:ascii="Arial" w:cs="Arial" w:eastAsia="Arial" w:hAnsi="Arial"/>
                <w:sz w:val="18"/>
                <w:szCs w:val="18"/>
                <w:color w:val="auto"/>
              </w:rPr>
              <w:t>Smaller reporting company</w:t>
            </w:r>
          </w:p>
        </w:tc>
        <w:tc>
          <w:tcPr>
            <w:tcW w:w="1860" w:type="dxa"/>
            <w:vAlign w:val="bottom"/>
          </w:tcPr>
          <w:p>
            <w:pPr>
              <w:ind w:left="1780"/>
              <w:spacing w:after="0"/>
              <w:rPr>
                <w:sz w:val="20"/>
                <w:szCs w:val="20"/>
                <w:color w:val="auto"/>
              </w:rPr>
            </w:pPr>
            <w:r>
              <w:rPr>
                <w:rFonts w:ascii="Arial" w:cs="Arial" w:eastAsia="Arial" w:hAnsi="Arial"/>
                <w:sz w:val="17"/>
                <w:szCs w:val="17"/>
                <w:color w:val="auto"/>
                <w:w w:val="70"/>
              </w:rPr>
              <w:t>x</w:t>
            </w:r>
          </w:p>
        </w:tc>
      </w:tr>
      <w:tr>
        <w:trPr>
          <w:trHeight w:val="432"/>
        </w:trPr>
        <w:tc>
          <w:tcPr>
            <w:tcW w:w="2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240" w:type="dxa"/>
            <w:vAlign w:val="bottom"/>
          </w:tcPr>
          <w:p>
            <w:pPr>
              <w:ind w:left="1520"/>
              <w:spacing w:after="0"/>
              <w:rPr>
                <w:sz w:val="20"/>
                <w:szCs w:val="20"/>
                <w:color w:val="auto"/>
              </w:rPr>
            </w:pPr>
            <w:r>
              <w:rPr>
                <w:rFonts w:ascii="Arial" w:cs="Arial" w:eastAsia="Arial" w:hAnsi="Arial"/>
                <w:sz w:val="18"/>
                <w:szCs w:val="18"/>
                <w:color w:val="auto"/>
              </w:rPr>
              <w:t>Emerging growth company</w:t>
            </w:r>
          </w:p>
        </w:tc>
        <w:tc>
          <w:tcPr>
            <w:tcW w:w="1860" w:type="dxa"/>
            <w:vAlign w:val="bottom"/>
          </w:tcPr>
          <w:p>
            <w:pPr>
              <w:ind w:left="1780"/>
              <w:spacing w:after="0"/>
              <w:rPr>
                <w:sz w:val="20"/>
                <w:szCs w:val="20"/>
                <w:color w:val="auto"/>
              </w:rPr>
            </w:pPr>
            <w:r>
              <w:rPr>
                <w:rFonts w:ascii="Arial" w:cs="Arial" w:eastAsia="Arial" w:hAnsi="Arial"/>
                <w:sz w:val="17"/>
                <w:szCs w:val="17"/>
                <w:color w:val="auto"/>
                <w:w w:val="70"/>
              </w:rPr>
              <w:t>x</w:t>
            </w:r>
          </w:p>
        </w:tc>
      </w:tr>
    </w:tbl>
    <w:p>
      <w:pPr>
        <w:spacing w:after="0" w:line="20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1532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445" w:right="339" w:bottom="874"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DEREGISTRATION OF SECURITIES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These post-effective amendments relate to the following Registration Statements of Forty Seven, Inc. (the “Company”) on Form S-8 (collectively, the “Registration Statements”):</w:t>
      </w:r>
    </w:p>
    <w:p>
      <w:pPr>
        <w:spacing w:after="0" w:line="170" w:lineRule="exact"/>
        <w:rPr>
          <w:sz w:val="20"/>
          <w:szCs w:val="20"/>
          <w:color w:val="auto"/>
        </w:rPr>
      </w:pPr>
    </w:p>
    <w:p>
      <w:pPr>
        <w:ind w:left="1300" w:right="320" w:hanging="320"/>
        <w:spacing w:after="0" w:line="308" w:lineRule="auto"/>
        <w:tabs>
          <w:tab w:leader="none" w:pos="1264" w:val="left"/>
        </w:tabs>
        <w:numPr>
          <w:ilvl w:val="0"/>
          <w:numId w:val="1"/>
        </w:numPr>
        <w:rPr>
          <w:rFonts w:ascii="Arial" w:cs="Arial" w:eastAsia="Arial" w:hAnsi="Arial"/>
          <w:sz w:val="17"/>
          <w:szCs w:val="17"/>
          <w:color w:val="auto"/>
        </w:rPr>
      </w:pPr>
      <w:r>
        <w:rPr>
          <w:rFonts w:ascii="Arial" w:cs="Arial" w:eastAsia="Arial" w:hAnsi="Arial"/>
          <w:sz w:val="17"/>
          <w:szCs w:val="17"/>
          <w:color w:val="auto"/>
        </w:rPr>
        <w:t>Registration Statement on Form S-8 (File No. 333-225958), registering 6,813,968 shares of common stock of the Company, par value $0.0001 per share (“Common Stock”), filed with the Securities and Exchange Commission on June 28, 2018; and</w:t>
      </w:r>
    </w:p>
    <w:p>
      <w:pPr>
        <w:spacing w:after="0" w:line="146" w:lineRule="exact"/>
        <w:rPr>
          <w:rFonts w:ascii="Arial" w:cs="Arial" w:eastAsia="Arial" w:hAnsi="Arial"/>
          <w:sz w:val="17"/>
          <w:szCs w:val="17"/>
          <w:color w:val="auto"/>
        </w:rPr>
      </w:pPr>
    </w:p>
    <w:p>
      <w:pPr>
        <w:ind w:left="1300" w:right="100" w:hanging="320"/>
        <w:spacing w:after="0" w:line="277"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(File No. 333-230585), registering 1,864,749 shares of Common Stock, filed with the Securities and Exchange Commission on March 28, 2019.</w:t>
      </w:r>
    </w:p>
    <w:p>
      <w:pPr>
        <w:spacing w:after="0" w:line="170" w:lineRule="exact"/>
        <w:rPr>
          <w:sz w:val="20"/>
          <w:szCs w:val="20"/>
          <w:color w:val="auto"/>
        </w:rPr>
      </w:pPr>
    </w:p>
    <w:p>
      <w:pPr>
        <w:ind w:right="680" w:firstLine="648"/>
        <w:spacing w:after="0" w:line="311" w:lineRule="auto"/>
        <w:rPr>
          <w:sz w:val="20"/>
          <w:szCs w:val="20"/>
          <w:color w:val="auto"/>
        </w:rPr>
      </w:pPr>
      <w:r>
        <w:rPr>
          <w:rFonts w:ascii="Arial" w:cs="Arial" w:eastAsia="Arial" w:hAnsi="Arial"/>
          <w:sz w:val="16"/>
          <w:szCs w:val="16"/>
          <w:color w:val="auto"/>
        </w:rPr>
        <w:t>On April 7, 2020, pursuant to that certain Agreement and Plan of Merger, dated as of March 1, 2020, by and among the Company, Gilead Sciences, Inc., a Delaware corporation (“Parent”), and Toro Merger Sub, Inc., a Delaware corporation and a wholly-owned subsidiary of Parent (“Purchaser”), Purchaser merged with and into the Company, with the Company surviving as a wholly owned subsidiary of Parent (the “Merger”).</w:t>
      </w:r>
    </w:p>
    <w:p>
      <w:pPr>
        <w:spacing w:after="0" w:line="14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As a result of the Merger, by filing these post-effective amendments, the Company has terminated any and all offerings of its securities pursuant to the Registration Statements. Accordingly, the Company hereby terminates the effectiveness of each Registration Statement and removes from registration any and all securities of the Company registered but unsold under the Registration Statements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1532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be signed on its behalf by the undersigned, thereunto duly authorized, in the City of Foster City, State of California, on April 7, 2020.</w:t>
      </w:r>
    </w:p>
    <w:p>
      <w:pPr>
        <w:spacing w:after="0" w:line="1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FORTY SEVEN, INC.</w:t>
      </w:r>
    </w:p>
    <w:p>
      <w:pPr>
        <w:spacing w:after="0" w:line="22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Brett A. Pletcher</w:t>
      </w:r>
    </w:p>
    <w:p>
      <w:pPr>
        <w:spacing w:after="0" w:line="23" w:lineRule="exact"/>
        <w:rPr>
          <w:sz w:val="20"/>
          <w:szCs w:val="20"/>
          <w:color w:val="auto"/>
        </w:rPr>
      </w:pPr>
    </w:p>
    <w:tbl>
      <w:tblPr>
        <w:tblLayout w:type="fixed"/>
        <w:tblInd w:w="616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48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Brett A. Pletcher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140"/>
              <w:spacing w:after="0"/>
              <w:rPr>
                <w:sz w:val="20"/>
                <w:szCs w:val="20"/>
                <w:color w:val="auto"/>
              </w:rPr>
            </w:pPr>
            <w:r>
              <w:rPr>
                <w:rFonts w:ascii="Arial" w:cs="Arial" w:eastAsia="Arial" w:hAnsi="Arial"/>
                <w:sz w:val="18"/>
                <w:szCs w:val="18"/>
                <w:color w:val="auto"/>
              </w:rPr>
              <w:t>Secretary and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other person is required to sign this Post-Effective Amendment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2020-04-07T07:43:49Z</dcterms:created>
  <dcterms:modified xsi:type="dcterms:W3CDTF">2020-04-07T07:43:49Z</dcterms:modified>
</cp:coreProperties>
</file>