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7, 2020</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44" w:right="339" w:bottom="1440" w:gutter="0" w:footer="0" w:header="0"/>
        </w:sectPr>
      </w:pPr>
    </w:p>
    <w:p>
      <w:pPr>
        <w:spacing w:after="0" w:line="205"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001-38554</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47-4065674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60" w:space="720"/>
            <w:col w:w="3000" w:space="720"/>
            <w:col w:w="2440"/>
          </w:cols>
          <w:pgMar w:left="320" w:top="544"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1490 O’Brien Drive, Suite A</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Menlo Park,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94025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4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352-4150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20" w:firstLine="8"/>
        <w:spacing w:after="0" w:line="496" w:lineRule="auto"/>
        <w:tabs>
          <w:tab w:leader="none" w:pos="37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3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2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FTSV</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previously disclosed, Forty Seven,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Agreement and Plan of Merger, dated as of March 1, 2020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Gilead Sciences,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Toro Merger Sub, Inc., a Delaware corporation and a wholly owned subsidiary of Parent (“</w:t>
      </w:r>
      <w:r>
        <w:rPr>
          <w:rFonts w:ascii="Arial" w:cs="Arial" w:eastAsia="Arial" w:hAnsi="Arial"/>
          <w:sz w:val="17"/>
          <w:szCs w:val="17"/>
          <w:u w:val="single" w:color="auto"/>
          <w:color w:val="auto"/>
        </w:rPr>
        <w:t>Purchaser</w:t>
      </w:r>
      <w:r>
        <w:rPr>
          <w:rFonts w:ascii="Arial" w:cs="Arial" w:eastAsia="Arial" w:hAnsi="Arial"/>
          <w:sz w:val="17"/>
          <w:szCs w:val="17"/>
          <w:color w:val="auto"/>
        </w:rPr>
        <w:t>”). Pursuant to the Merger Agreement, Purchaser conducted a tender offer (the “</w:t>
      </w:r>
      <w:r>
        <w:rPr>
          <w:rFonts w:ascii="Arial" w:cs="Arial" w:eastAsia="Arial" w:hAnsi="Arial"/>
          <w:sz w:val="17"/>
          <w:szCs w:val="17"/>
          <w:u w:val="single" w:color="auto"/>
          <w:color w:val="auto"/>
        </w:rPr>
        <w:t>Offer</w:t>
      </w:r>
      <w:r>
        <w:rPr>
          <w:rFonts w:ascii="Arial" w:cs="Arial" w:eastAsia="Arial" w:hAnsi="Arial"/>
          <w:sz w:val="17"/>
          <w:szCs w:val="17"/>
          <w:color w:val="auto"/>
        </w:rPr>
        <w:t>”) for all of the outstanding shares of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at a price of $95.50 per Share (the “</w:t>
      </w:r>
      <w:r>
        <w:rPr>
          <w:rFonts w:ascii="Arial" w:cs="Arial" w:eastAsia="Arial" w:hAnsi="Arial"/>
          <w:sz w:val="17"/>
          <w:szCs w:val="17"/>
          <w:u w:val="single" w:color="auto"/>
          <w:color w:val="auto"/>
        </w:rPr>
        <w:t>Offer Price</w:t>
      </w:r>
      <w:r>
        <w:rPr>
          <w:rFonts w:ascii="Arial" w:cs="Arial" w:eastAsia="Arial" w:hAnsi="Arial"/>
          <w:sz w:val="17"/>
          <w:szCs w:val="17"/>
          <w:color w:val="auto"/>
        </w:rPr>
        <w:t>”), net to the seller in cash, without interest and subject to any applicable withholding of taxes.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Offer expired one minute after 11:59 p.m., Eastern Time, on April 6, 2020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as scheduled and was not extended. According to Computershare Trust Company, N.A., the depositary for the Offer (the “</w:t>
      </w:r>
      <w:r>
        <w:rPr>
          <w:rFonts w:ascii="Arial" w:cs="Arial" w:eastAsia="Arial" w:hAnsi="Arial"/>
          <w:sz w:val="16"/>
          <w:szCs w:val="16"/>
          <w:u w:val="single" w:color="auto"/>
          <w:color w:val="auto"/>
        </w:rPr>
        <w:t>Depositary</w:t>
      </w:r>
      <w:r>
        <w:rPr>
          <w:rFonts w:ascii="Arial" w:cs="Arial" w:eastAsia="Arial" w:hAnsi="Arial"/>
          <w:sz w:val="16"/>
          <w:szCs w:val="16"/>
          <w:color w:val="auto"/>
        </w:rPr>
        <w:t>”), 43,040,853 Shares were validly tendered and not validly withdrawn, which represented approximately 89.07% of the outstanding Shares as of the expiration of the Offer and a sufficient number of Shares such that the minimum tender condition to the Offer was satisfied. In addition, the Depositary has advised that Notices of Guaranteed Delivery have been delivered with respect to 2,133,813 additional Shares, representing approximately 4.42% of the outstanding Shares as of the expiration of the Offer. Each condition to the Offer was satisfied or waived, and Purchaser irrevocably accepted for payment all Shares that were validly tendered and not validly withdrawn.</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7, 2020, following consummation of the Offer, Purchaser merged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surviving as a wholly owned subsidiary of Gilead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The Merger was governed by Section 251(h)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with no vote of the stockholders of the Company required to consummate the Merger. At the effective time of the Merger, each Share (other than (i) Shares held by the Company (or held in the Company’s treasury), (ii) Shares held by Parent, Purchaser, or any other direct or indirect wholly owned subsidiary of Parent and (iii) Shares held by stockholders who have properly exercised and not effectively withdrawn their respective demand or otherwise lost their respective rights to appraisal pursuant to Section 262 of the DGCL) was converted into an amount in cash equal to the Offer Price, without interest and subject to any applicable withholding of taxes.</w:t>
      </w:r>
    </w:p>
    <w:p>
      <w:pPr>
        <w:spacing w:after="0" w:line="17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attached as Exhibit 2.1 to the Current Report on Form 8-K filed by the Company on March 2, 2020, which is incorporated herein by reference.</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described in the Introductory Note above, on April 7, 2020, Purchaser irrevocably accepted for payment all Shares validly tendered and not validly withdrawn pursuant to the Offer on or prior to the Expiration Date. Shortly thereafter, the Merger was completed pursuant to Section 251(h) of the DGCL, with no vote of the stockholders of the Company required to consummate the Merger. Upon the consummation of the Merger, the Company became a wholly owned subsidiary of Parent.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consideration paid by Purchaser in the Offer and Merger was approximately $4.9 billion, without giving effect to related transaction fees and expenses. Parent provided Purchaser with the necessary funds to fund the Offer and the Merger through cash on hand.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the Introductory Note of this Current Report on Form 8-K is incorporated by reference into this Item 2.01.</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connection with the consummation of the Merger, the Company (i) notified NASDAQ of the consummation of the Merger and (ii) requested that NASDAQ (A) suspend trading of the Shares effective before the opening of trading on April 7, 2020 and (B) file with the Securities and Exchange Commission a Form 25 Notification of Removal from Listing and/or Registration to delist and deregister the Shares under Section 12(b)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also intends to file with the Securities and Exchange Commission a Form 15 under the Exchange Act, requesting that the Company’s reporting obligations under Sections 13 and 15(d) of the Exchange Act be suspended.</w:t>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contained in the Introductory Note and Items 2.01, 3.01 and 5.03 of this Current Report on Form 8-K is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spacing w:after="0"/>
        <w:tabs>
          <w:tab w:leader="none" w:pos="120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contained in the Introductory Note and Items 2.01, 5.02 and 5.03 of this Current Report on Form 8-K is incorporated by reference into this Item 5.01.</w:t>
      </w:r>
    </w:p>
    <w:p>
      <w:pPr>
        <w:spacing w:after="0" w:line="16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5.02. Departure of Certain Officers; Election of Directors; Appointment of Certain Officers; Compensatory Arrangements of Certain Officers</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Merger, at the effective time of the Merger, each of the directors of the Company (Kristine M. Ball, Jeffrey W. Bird M.D., Ian T. Clark, Dennis J. Henner, Ph.D., Ravindra Majeti, M.D., Mark A. McCamish, M.D. and Irving L. Weissman, M.D.) resigned as directors of the Company and from all committees of the board of directors of the Company.</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terms of the Merger Agreement, at the effective time of the Merger, the directors and officers of Purchaser as of immediately prior to the effective time of the Merger became the directors and officers of the Surviving Company. Andrew D. Dickinson assumed the roles of director and President and Treasurer of the Surviving Company, Brett A. Pletcher assumed the roles of director and Secretary of the Surviving Company and Christina Carlson assumed the roles of director and Assistant Secretary of the Surviving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Mr. Dickinson and Mr. Pletcher is contained in the Offer to Purchase, dated March 10, 2020, filed by Gilead and Purchaser as Exhibit (a)</w:t>
      </w:r>
    </w:p>
    <w:p>
      <w:pPr>
        <w:spacing w:after="0" w:line="4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(1)(A) to the Tender Offer Statement on Schedule TO, originally filed with the SEC on March 10, 2020, which information is incorporated herein by reference.</w:t>
      </w:r>
    </w:p>
    <w:p>
      <w:pPr>
        <w:spacing w:after="0" w:line="18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Pursuant to the terms of the Merger Agreement, as of the Effective Time, the Company’s amended and restated certificate of incorporation and the Company’s amended and restated bylaws were amended and restated in their entirety, as set forth in Exhibits 3.1 and 3.2, respectively, to this Current Report on Form 8-K,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760" w:type="dxa"/>
            <w:vAlign w:val="bottom"/>
            <w:tcBorders>
              <w:bottom w:val="single" w:sz="8" w:color="auto"/>
            </w:tcBorders>
            <w:gridSpan w:val="2"/>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114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340" w:type="dxa"/>
            <w:vAlign w:val="bottom"/>
          </w:tcPr>
          <w:p>
            <w:pPr>
              <w:spacing w:after="0"/>
              <w:rPr>
                <w:sz w:val="24"/>
                <w:szCs w:val="24"/>
                <w:color w:val="auto"/>
              </w:rPr>
            </w:pPr>
          </w:p>
        </w:tc>
        <w:tc>
          <w:tcPr>
            <w:tcW w:w="9460" w:type="dxa"/>
            <w:vAlign w:val="bottom"/>
            <w:tcBorders>
              <w:bottom w:val="single" w:sz="8" w:color="0000EE"/>
            </w:tcBorders>
          </w:tcPr>
          <w:p>
            <w:pPr>
              <w:spacing w:after="0"/>
              <w:rPr>
                <w:rFonts w:ascii="Arial" w:cs="Arial" w:eastAsia="Arial" w:hAnsi="Arial"/>
                <w:sz w:val="18"/>
                <w:szCs w:val="18"/>
                <w:color w:val="0000EE"/>
                <w:w w:val="90"/>
              </w:rPr>
            </w:pPr>
            <w:hyperlink r:id="rId14">
              <w:r>
                <w:rPr>
                  <w:rFonts w:ascii="Arial" w:cs="Arial" w:eastAsia="Arial" w:hAnsi="Arial"/>
                  <w:sz w:val="18"/>
                  <w:szCs w:val="18"/>
                  <w:color w:val="0000EE"/>
                  <w:w w:val="90"/>
                </w:rPr>
                <w:t>Agreement and Plan of Merger, dated as of March 1, 2020, by and among Forty Seven, Inc., Gilead Sciences, Inc. and Toro Merger</w:t>
              </w:r>
            </w:hyperlink>
          </w:p>
        </w:tc>
        <w:tc>
          <w:tcPr>
            <w:tcW w:w="30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gridSpan w:val="2"/>
          </w:tcPr>
          <w:p>
            <w:pPr>
              <w:spacing w:after="0"/>
              <w:rPr>
                <w:rFonts w:ascii="Arial" w:cs="Arial" w:eastAsia="Arial" w:hAnsi="Arial"/>
                <w:sz w:val="18"/>
                <w:szCs w:val="18"/>
                <w:u w:val="single" w:color="auto"/>
                <w:color w:val="0000EE"/>
                <w:w w:val="96"/>
              </w:rPr>
            </w:pPr>
            <w:hyperlink r:id="rId14">
              <w:r>
                <w:rPr>
                  <w:rFonts w:ascii="Arial" w:cs="Arial" w:eastAsia="Arial" w:hAnsi="Arial"/>
                  <w:sz w:val="18"/>
                  <w:szCs w:val="18"/>
                  <w:u w:val="single" w:color="auto"/>
                  <w:color w:val="0000EE"/>
                  <w:w w:val="96"/>
                </w:rPr>
                <w:t>Sub, Inc. (incorporated by reference to Exhibit 2.1 to the Current Report on Form 8-K filed by the Company on March 2, 2020).</w:t>
              </w:r>
            </w:hyperlink>
          </w:p>
        </w:tc>
      </w:tr>
      <w:tr>
        <w:trPr>
          <w:trHeight w:val="216"/>
        </w:trPr>
        <w:tc>
          <w:tcPr>
            <w:tcW w:w="1140" w:type="dxa"/>
            <w:vAlign w:val="bottom"/>
          </w:tcPr>
          <w:p>
            <w:pPr>
              <w:jc w:val="center"/>
              <w:spacing w:after="0"/>
              <w:rPr>
                <w:rFonts w:ascii="Arial" w:cs="Arial" w:eastAsia="Arial" w:hAnsi="Arial"/>
                <w:sz w:val="18"/>
                <w:szCs w:val="18"/>
                <w:u w:val="single" w:color="auto"/>
                <w:color w:val="0000EE"/>
                <w:w w:val="87"/>
              </w:rPr>
            </w:pPr>
            <w:hyperlink w:anchor="page4">
              <w:r>
                <w:rPr>
                  <w:rFonts w:ascii="Arial" w:cs="Arial" w:eastAsia="Arial" w:hAnsi="Arial"/>
                  <w:sz w:val="18"/>
                  <w:szCs w:val="18"/>
                  <w:u w:val="single" w:color="auto"/>
                  <w:color w:val="0000EE"/>
                  <w:w w:val="87"/>
                </w:rPr>
                <w:t>3.1</w:t>
              </w:r>
            </w:hyperlink>
          </w:p>
        </w:tc>
        <w:tc>
          <w:tcPr>
            <w:tcW w:w="340" w:type="dxa"/>
            <w:vAlign w:val="bottom"/>
          </w:tcPr>
          <w:p>
            <w:pPr>
              <w:spacing w:after="0"/>
              <w:rPr>
                <w:sz w:val="18"/>
                <w:szCs w:val="18"/>
                <w:color w:val="auto"/>
              </w:rPr>
            </w:pPr>
          </w:p>
        </w:tc>
        <w:tc>
          <w:tcPr>
            <w:tcW w:w="97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Amended and Restated Certificate of Incorporation of the Company.</w:t>
              </w:r>
            </w:hyperlink>
          </w:p>
        </w:tc>
      </w:tr>
      <w:tr>
        <w:trPr>
          <w:trHeight w:val="230"/>
        </w:trPr>
        <w:tc>
          <w:tcPr>
            <w:tcW w:w="1140" w:type="dxa"/>
            <w:vAlign w:val="bottom"/>
          </w:tcPr>
          <w:p>
            <w:pPr>
              <w:jc w:val="center"/>
              <w:spacing w:after="0"/>
              <w:rPr>
                <w:rFonts w:ascii="Arial" w:cs="Arial" w:eastAsia="Arial" w:hAnsi="Arial"/>
                <w:sz w:val="18"/>
                <w:szCs w:val="18"/>
                <w:u w:val="single" w:color="auto"/>
                <w:color w:val="0000EE"/>
                <w:w w:val="87"/>
              </w:rPr>
            </w:pPr>
            <w:hyperlink w:anchor="page6">
              <w:r>
                <w:rPr>
                  <w:rFonts w:ascii="Arial" w:cs="Arial" w:eastAsia="Arial" w:hAnsi="Arial"/>
                  <w:sz w:val="18"/>
                  <w:szCs w:val="18"/>
                  <w:u w:val="single" w:color="auto"/>
                  <w:color w:val="0000EE"/>
                  <w:w w:val="87"/>
                </w:rPr>
                <w:t>3.2</w:t>
              </w:r>
            </w:hyperlink>
          </w:p>
        </w:tc>
        <w:tc>
          <w:tcPr>
            <w:tcW w:w="340" w:type="dxa"/>
            <w:vAlign w:val="bottom"/>
          </w:tcPr>
          <w:p>
            <w:pPr>
              <w:spacing w:after="0"/>
              <w:rPr>
                <w:sz w:val="20"/>
                <w:szCs w:val="20"/>
                <w:color w:val="auto"/>
              </w:rPr>
            </w:pPr>
          </w:p>
        </w:tc>
        <w:tc>
          <w:tcPr>
            <w:tcW w:w="976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Amended and Restated Bylaws of the Company.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7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omitted pursuant to Item 601(b)(2) of Regulation S-K. The Company agrees to furnish supplementally a copy of any omitted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2020</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Brett A. Pletcher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Pletcher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Forty Seven, Inc. (the “Corporation”).</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address of the registered office of the Corporation in the State of Delaware is 1209 Orange Street, Wilmington, County of New Castle, Delaware, 19801. The name of its registered agent at that address is The Corporation Trust Company.</w:t>
      </w:r>
    </w:p>
    <w:p>
      <w:pPr>
        <w:spacing w:after="0" w:line="170"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purpose of the Corporation is to engage in any lawful act or activity for which a corporation may be organized under the General Corporation Law of the State of Delaware as set forth in Title 8 of the Delaware Code (the “DGCL”).</w:t>
      </w:r>
    </w:p>
    <w:p>
      <w:pPr>
        <w:spacing w:after="0" w:line="170"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total number of shares of stock which the Corporation shall have authority to issue is 100 shares of Common Stock, each having a par value of $0.01.</w:t>
      </w:r>
    </w:p>
    <w:p>
      <w:pPr>
        <w:spacing w:after="0" w:line="170"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225" w:lineRule="exact"/>
        <w:rPr>
          <w:rFonts w:ascii="Arial" w:cs="Arial" w:eastAsia="Arial" w:hAnsi="Arial"/>
          <w:sz w:val="18"/>
          <w:szCs w:val="18"/>
          <w:color w:val="auto"/>
        </w:rPr>
      </w:pPr>
    </w:p>
    <w:p>
      <w:pPr>
        <w:ind w:left="660" w:right="840" w:hanging="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directors shall have concurrent power with the stockholders to make, alter, amend, change, add to or repeal the By-Laws of the Corporation.</w:t>
      </w:r>
    </w:p>
    <w:p>
      <w:pPr>
        <w:spacing w:after="0" w:line="170" w:lineRule="exact"/>
        <w:rPr>
          <w:rFonts w:ascii="Arial" w:cs="Arial" w:eastAsia="Arial" w:hAnsi="Arial"/>
          <w:sz w:val="18"/>
          <w:szCs w:val="18"/>
          <w:color w:val="auto"/>
        </w:rPr>
      </w:pPr>
    </w:p>
    <w:p>
      <w:pPr>
        <w:ind w:left="660" w:right="820" w:hanging="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directors of the Corporation shall be as from time to time fixed by, or in the manner provided in, the By-Laws of the Corporation. Election of directors need not be by written ballot unless the By-Laws so provide.</w:t>
      </w:r>
    </w:p>
    <w:p>
      <w:pPr>
        <w:spacing w:after="0" w:line="170" w:lineRule="exact"/>
        <w:rPr>
          <w:rFonts w:ascii="Arial" w:cs="Arial" w:eastAsia="Arial" w:hAnsi="Arial"/>
          <w:sz w:val="18"/>
          <w:szCs w:val="18"/>
          <w:color w:val="auto"/>
        </w:rPr>
      </w:pPr>
    </w:p>
    <w:p>
      <w:pPr>
        <w:ind w:left="660" w:right="40" w:hanging="4"/>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Amended and Restated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liability of the directors for monetary damages shall be eliminated to the fullest extent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right="80" w:hanging="4"/>
        <w:spacing w:after="0" w:line="293"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Corporation is authorized to provide indemnification of (and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SIXTH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164" w:lineRule="exact"/>
        <w:rPr>
          <w:rFonts w:ascii="Arial" w:cs="Arial" w:eastAsia="Arial" w:hAnsi="Arial"/>
          <w:sz w:val="16"/>
          <w:szCs w:val="16"/>
          <w:color w:val="auto"/>
        </w:rPr>
      </w:pPr>
    </w:p>
    <w:p>
      <w:pPr>
        <w:ind w:left="660" w:hanging="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repeal or modification of this Article SIXTH shall only be prospective and shall not affect the rights or protections or increase the liability of any director under this Article SIXTH in effect at the time of the alleged occurrence of any act or omission to act giving rise to liability or indemnification.</w:t>
      </w:r>
    </w:p>
    <w:p>
      <w:pPr>
        <w:spacing w:after="0" w:line="184"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84"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Effective April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218440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680" w:type="dxa"/>
            <w:vAlign w:val="bottom"/>
            <w:gridSpan w:val="2"/>
          </w:tcPr>
          <w:p>
            <w:pPr>
              <w:jc w:val="center"/>
              <w:ind w:right="3788"/>
              <w:spacing w:after="0"/>
              <w:rPr>
                <w:sz w:val="20"/>
                <w:szCs w:val="20"/>
                <w:color w:val="auto"/>
              </w:rPr>
            </w:pPr>
            <w:r>
              <w:rPr>
                <w:rFonts w:ascii="Arial" w:cs="Arial" w:eastAsia="Arial" w:hAnsi="Arial"/>
                <w:sz w:val="18"/>
                <w:szCs w:val="18"/>
                <w:b w:val="1"/>
                <w:bCs w:val="1"/>
                <w:color w:val="auto"/>
                <w:w w:val="99"/>
              </w:rPr>
              <w:t>TABLE OF CONTENTS</w:t>
            </w:r>
          </w:p>
        </w:tc>
      </w:tr>
      <w:tr>
        <w:trPr>
          <w:trHeight w:val="364"/>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Page</w:t>
            </w:r>
          </w:p>
        </w:tc>
      </w:tr>
      <w:tr>
        <w:trPr>
          <w:trHeight w:val="358"/>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80" w:type="dxa"/>
            <w:vAlign w:val="bottom"/>
            <w:gridSpan w:val="2"/>
          </w:tcPr>
          <w:p>
            <w:pPr>
              <w:jc w:val="center"/>
              <w:ind w:right="3788"/>
              <w:spacing w:after="0"/>
              <w:rPr>
                <w:sz w:val="20"/>
                <w:szCs w:val="20"/>
                <w:color w:val="auto"/>
              </w:rPr>
            </w:pPr>
            <w:r>
              <w:rPr>
                <w:rFonts w:ascii="Arial" w:cs="Arial" w:eastAsia="Arial" w:hAnsi="Arial"/>
                <w:sz w:val="18"/>
                <w:szCs w:val="18"/>
                <w:color w:val="auto"/>
                <w:w w:val="99"/>
              </w:rPr>
              <w:t>ARTICLE I</w:t>
            </w:r>
          </w:p>
        </w:tc>
      </w:tr>
      <w:tr>
        <w:trPr>
          <w:trHeight w:val="432"/>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80" w:type="dxa"/>
            <w:vAlign w:val="bottom"/>
            <w:gridSpan w:val="2"/>
          </w:tcPr>
          <w:p>
            <w:pPr>
              <w:jc w:val="center"/>
              <w:ind w:right="3808"/>
              <w:spacing w:after="0"/>
              <w:rPr>
                <w:sz w:val="20"/>
                <w:szCs w:val="20"/>
                <w:color w:val="auto"/>
              </w:rPr>
            </w:pPr>
            <w:r>
              <w:rPr>
                <w:rFonts w:ascii="Arial" w:cs="Arial" w:eastAsia="Arial" w:hAnsi="Arial"/>
                <w:sz w:val="18"/>
                <w:szCs w:val="18"/>
                <w:color w:val="auto"/>
                <w:w w:val="92"/>
              </w:rPr>
              <w:t>OFFICES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440" w:type="dxa"/>
            <w:vAlign w:val="bottom"/>
          </w:tcPr>
          <w:p>
            <w:pPr>
              <w:ind w:left="200"/>
              <w:spacing w:after="0"/>
              <w:rPr>
                <w:sz w:val="20"/>
                <w:szCs w:val="20"/>
                <w:color w:val="auto"/>
              </w:rPr>
            </w:pPr>
            <w:r>
              <w:rPr>
                <w:rFonts w:ascii="Arial" w:cs="Arial" w:eastAsia="Arial" w:hAnsi="Arial"/>
                <w:sz w:val="18"/>
                <w:szCs w:val="18"/>
                <w:color w:val="auto"/>
              </w:rPr>
              <w:t>Registered Office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440" w:type="dxa"/>
            <w:vAlign w:val="bottom"/>
          </w:tcPr>
          <w:p>
            <w:pPr>
              <w:ind w:left="200"/>
              <w:spacing w:after="0"/>
              <w:rPr>
                <w:sz w:val="20"/>
                <w:szCs w:val="20"/>
                <w:color w:val="auto"/>
              </w:rPr>
            </w:pPr>
            <w:r>
              <w:rPr>
                <w:rFonts w:ascii="Arial" w:cs="Arial" w:eastAsia="Arial" w:hAnsi="Arial"/>
                <w:sz w:val="18"/>
                <w:szCs w:val="18"/>
                <w:color w:val="auto"/>
              </w:rPr>
              <w:t>Other Offices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80" w:type="dxa"/>
            <w:vAlign w:val="bottom"/>
            <w:gridSpan w:val="2"/>
          </w:tcPr>
          <w:p>
            <w:pPr>
              <w:jc w:val="center"/>
              <w:ind w:right="3808"/>
              <w:spacing w:after="0"/>
              <w:rPr>
                <w:sz w:val="20"/>
                <w:szCs w:val="20"/>
                <w:color w:val="auto"/>
              </w:rPr>
            </w:pPr>
            <w:r>
              <w:rPr>
                <w:rFonts w:ascii="Arial" w:cs="Arial" w:eastAsia="Arial" w:hAnsi="Arial"/>
                <w:sz w:val="18"/>
                <w:szCs w:val="18"/>
                <w:color w:val="auto"/>
              </w:rPr>
              <w:t>ARTICLE II</w:t>
            </w:r>
          </w:p>
        </w:tc>
      </w:tr>
      <w:tr>
        <w:trPr>
          <w:trHeight w:val="432"/>
        </w:trPr>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80" w:type="dxa"/>
            <w:vAlign w:val="bottom"/>
            <w:gridSpan w:val="2"/>
          </w:tcPr>
          <w:p>
            <w:pPr>
              <w:jc w:val="center"/>
              <w:ind w:right="3808"/>
              <w:spacing w:after="0"/>
              <w:rPr>
                <w:sz w:val="20"/>
                <w:szCs w:val="20"/>
                <w:color w:val="auto"/>
              </w:rPr>
            </w:pPr>
            <w:r>
              <w:rPr>
                <w:rFonts w:ascii="Arial" w:cs="Arial" w:eastAsia="Arial" w:hAnsi="Arial"/>
                <w:sz w:val="18"/>
                <w:szCs w:val="18"/>
                <w:color w:val="auto"/>
                <w:w w:val="94"/>
              </w:rPr>
              <w:t>MEETINGS OF STOCKHOLDERS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44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440" w:type="dxa"/>
            <w:vAlign w:val="bottom"/>
          </w:tcPr>
          <w:p>
            <w:pPr>
              <w:ind w:left="200"/>
              <w:spacing w:after="0"/>
              <w:rPr>
                <w:sz w:val="20"/>
                <w:szCs w:val="20"/>
                <w:color w:val="auto"/>
              </w:rPr>
            </w:pPr>
            <w:r>
              <w:rPr>
                <w:rFonts w:ascii="Arial" w:cs="Arial" w:eastAsia="Arial" w:hAnsi="Arial"/>
                <w:sz w:val="18"/>
                <w:szCs w:val="18"/>
                <w:color w:val="auto"/>
              </w:rPr>
              <w:t>Annual Meetings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3440" w:type="dxa"/>
            <w:vAlign w:val="bottom"/>
          </w:tcPr>
          <w:p>
            <w:pPr>
              <w:ind w:left="200"/>
              <w:spacing w:after="0"/>
              <w:rPr>
                <w:sz w:val="20"/>
                <w:szCs w:val="20"/>
                <w:color w:val="auto"/>
              </w:rPr>
            </w:pPr>
            <w:r>
              <w:rPr>
                <w:rFonts w:ascii="Arial" w:cs="Arial" w:eastAsia="Arial" w:hAnsi="Arial"/>
                <w:sz w:val="18"/>
                <w:szCs w:val="18"/>
                <w:color w:val="auto"/>
              </w:rPr>
              <w:t>Special Meetings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3440" w:type="dxa"/>
            <w:vAlign w:val="bottom"/>
          </w:tcPr>
          <w:p>
            <w:pPr>
              <w:ind w:left="200"/>
              <w:spacing w:after="0"/>
              <w:rPr>
                <w:sz w:val="20"/>
                <w:szCs w:val="20"/>
                <w:color w:val="auto"/>
              </w:rPr>
            </w:pPr>
            <w:r>
              <w:rPr>
                <w:rFonts w:ascii="Arial" w:cs="Arial" w:eastAsia="Arial" w:hAnsi="Arial"/>
                <w:sz w:val="18"/>
                <w:szCs w:val="18"/>
                <w:color w:val="auto"/>
              </w:rPr>
              <w:t>Notice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w:t>
            </w:r>
          </w:p>
        </w:tc>
        <w:tc>
          <w:tcPr>
            <w:tcW w:w="3440" w:type="dxa"/>
            <w:vAlign w:val="bottom"/>
          </w:tcPr>
          <w:p>
            <w:pPr>
              <w:ind w:left="200"/>
              <w:spacing w:after="0"/>
              <w:rPr>
                <w:sz w:val="20"/>
                <w:szCs w:val="20"/>
                <w:color w:val="auto"/>
              </w:rPr>
            </w:pPr>
            <w:r>
              <w:rPr>
                <w:rFonts w:ascii="Arial" w:cs="Arial" w:eastAsia="Arial" w:hAnsi="Arial"/>
                <w:sz w:val="18"/>
                <w:szCs w:val="18"/>
                <w:color w:val="auto"/>
              </w:rPr>
              <w:t>Adjournments and Postponements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w:t>
            </w:r>
          </w:p>
        </w:tc>
        <w:tc>
          <w:tcPr>
            <w:tcW w:w="3440" w:type="dxa"/>
            <w:vAlign w:val="bottom"/>
          </w:tcPr>
          <w:p>
            <w:pPr>
              <w:ind w:left="200"/>
              <w:spacing w:after="0"/>
              <w:rPr>
                <w:sz w:val="20"/>
                <w:szCs w:val="20"/>
                <w:color w:val="auto"/>
              </w:rPr>
            </w:pPr>
            <w:r>
              <w:rPr>
                <w:rFonts w:ascii="Arial" w:cs="Arial" w:eastAsia="Arial" w:hAnsi="Arial"/>
                <w:sz w:val="18"/>
                <w:szCs w:val="18"/>
                <w:color w:val="auto"/>
              </w:rPr>
              <w:t>Quorum</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7.</w:t>
            </w:r>
          </w:p>
        </w:tc>
        <w:tc>
          <w:tcPr>
            <w:tcW w:w="3440" w:type="dxa"/>
            <w:vAlign w:val="bottom"/>
          </w:tcPr>
          <w:p>
            <w:pPr>
              <w:ind w:left="200"/>
              <w:spacing w:after="0"/>
              <w:rPr>
                <w:sz w:val="20"/>
                <w:szCs w:val="20"/>
                <w:color w:val="auto"/>
              </w:rPr>
            </w:pPr>
            <w:r>
              <w:rPr>
                <w:rFonts w:ascii="Arial" w:cs="Arial" w:eastAsia="Arial" w:hAnsi="Arial"/>
                <w:sz w:val="18"/>
                <w:szCs w:val="18"/>
                <w:color w:val="auto"/>
              </w:rPr>
              <w:t>Voting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w:t>
            </w:r>
          </w:p>
        </w:tc>
        <w:tc>
          <w:tcPr>
            <w:tcW w:w="3440" w:type="dxa"/>
            <w:vAlign w:val="bottom"/>
          </w:tcPr>
          <w:p>
            <w:pPr>
              <w:ind w:left="200"/>
              <w:spacing w:after="0"/>
              <w:rPr>
                <w:sz w:val="20"/>
                <w:szCs w:val="20"/>
                <w:color w:val="auto"/>
              </w:rPr>
            </w:pPr>
            <w:r>
              <w:rPr>
                <w:rFonts w:ascii="Arial" w:cs="Arial" w:eastAsia="Arial" w:hAnsi="Arial"/>
                <w:sz w:val="18"/>
                <w:szCs w:val="18"/>
                <w:color w:val="auto"/>
              </w:rPr>
              <w:t>Proxies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9.</w:t>
            </w:r>
          </w:p>
        </w:tc>
        <w:tc>
          <w:tcPr>
            <w:tcW w:w="3440" w:type="dxa"/>
            <w:vAlign w:val="bottom"/>
          </w:tcPr>
          <w:p>
            <w:pPr>
              <w:ind w:left="200"/>
              <w:spacing w:after="0"/>
              <w:rPr>
                <w:sz w:val="20"/>
                <w:szCs w:val="20"/>
                <w:color w:val="auto"/>
              </w:rPr>
            </w:pPr>
            <w:r>
              <w:rPr>
                <w:rFonts w:ascii="Arial" w:cs="Arial" w:eastAsia="Arial" w:hAnsi="Arial"/>
                <w:sz w:val="18"/>
                <w:szCs w:val="18"/>
                <w:color w:val="auto"/>
                <w:w w:val="93"/>
              </w:rPr>
              <w:t>Consent of Stockholders in Lieu of Meeting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10.</w:t>
            </w:r>
          </w:p>
        </w:tc>
        <w:tc>
          <w:tcPr>
            <w:tcW w:w="344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3440" w:type="dxa"/>
            <w:vAlign w:val="bottom"/>
          </w:tcPr>
          <w:p>
            <w:pPr>
              <w:ind w:left="200"/>
              <w:spacing w:after="0"/>
              <w:rPr>
                <w:sz w:val="20"/>
                <w:szCs w:val="20"/>
                <w:color w:val="auto"/>
              </w:rPr>
            </w:pPr>
            <w:r>
              <w:rPr>
                <w:rFonts w:ascii="Arial" w:cs="Arial" w:eastAsia="Arial" w:hAnsi="Arial"/>
                <w:sz w:val="18"/>
                <w:szCs w:val="18"/>
                <w:color w:val="auto"/>
              </w:rPr>
              <w:t>Record Date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3440" w:type="dxa"/>
            <w:vAlign w:val="bottom"/>
          </w:tcPr>
          <w:p>
            <w:pPr>
              <w:ind w:left="200"/>
              <w:spacing w:after="0"/>
              <w:rPr>
                <w:sz w:val="20"/>
                <w:szCs w:val="20"/>
                <w:color w:val="auto"/>
              </w:rPr>
            </w:pPr>
            <w:r>
              <w:rPr>
                <w:rFonts w:ascii="Arial" w:cs="Arial" w:eastAsia="Arial" w:hAnsi="Arial"/>
                <w:sz w:val="18"/>
                <w:szCs w:val="18"/>
                <w:color w:val="auto"/>
              </w:rPr>
              <w:t>Stock Ledger</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3440" w:type="dxa"/>
            <w:vAlign w:val="bottom"/>
          </w:tcPr>
          <w:p>
            <w:pPr>
              <w:ind w:left="200"/>
              <w:spacing w:after="0"/>
              <w:rPr>
                <w:sz w:val="20"/>
                <w:szCs w:val="20"/>
                <w:color w:val="auto"/>
              </w:rPr>
            </w:pPr>
            <w:r>
              <w:rPr>
                <w:rFonts w:ascii="Arial" w:cs="Arial" w:eastAsia="Arial" w:hAnsi="Arial"/>
                <w:sz w:val="18"/>
                <w:szCs w:val="18"/>
                <w:color w:val="auto"/>
              </w:rPr>
              <w:t>Conduct of Meetings</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440" w:type="dxa"/>
            <w:vAlign w:val="bottom"/>
          </w:tcPr>
          <w:p>
            <w:pPr>
              <w:jc w:val="center"/>
              <w:ind w:right="4010"/>
              <w:spacing w:after="0"/>
              <w:rPr>
                <w:sz w:val="20"/>
                <w:szCs w:val="20"/>
                <w:color w:val="auto"/>
              </w:rPr>
            </w:pPr>
            <w:r>
              <w:rPr>
                <w:rFonts w:ascii="Arial" w:cs="Arial" w:eastAsia="Arial" w:hAnsi="Arial"/>
                <w:sz w:val="18"/>
                <w:szCs w:val="18"/>
                <w:color w:val="auto"/>
              </w:rPr>
              <w:t>ARTICLE III</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30"/>
              <w:spacing w:after="0"/>
              <w:rPr>
                <w:sz w:val="20"/>
                <w:szCs w:val="20"/>
                <w:color w:val="auto"/>
              </w:rPr>
            </w:pPr>
            <w:r>
              <w:rPr>
                <w:rFonts w:ascii="Arial" w:cs="Arial" w:eastAsia="Arial" w:hAnsi="Arial"/>
                <w:sz w:val="18"/>
                <w:szCs w:val="18"/>
                <w:color w:val="auto"/>
                <w:w w:val="94"/>
              </w:rPr>
              <w:t>DIRECTORS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680" w:type="dxa"/>
            <w:vAlign w:val="bottom"/>
          </w:tcPr>
          <w:p>
            <w:pPr>
              <w:ind w:left="200"/>
              <w:spacing w:after="0"/>
              <w:rPr>
                <w:sz w:val="20"/>
                <w:szCs w:val="20"/>
                <w:color w:val="auto"/>
              </w:rPr>
            </w:pPr>
            <w:r>
              <w:rPr>
                <w:rFonts w:ascii="Arial" w:cs="Arial" w:eastAsia="Arial" w:hAnsi="Arial"/>
                <w:sz w:val="18"/>
                <w:szCs w:val="18"/>
                <w:color w:val="auto"/>
              </w:rPr>
              <w:t>Number and Election of Directors</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680" w:type="dxa"/>
            <w:vAlign w:val="bottom"/>
          </w:tcPr>
          <w:p>
            <w:pPr>
              <w:ind w:left="200"/>
              <w:spacing w:after="0"/>
              <w:rPr>
                <w:sz w:val="20"/>
                <w:szCs w:val="20"/>
                <w:color w:val="auto"/>
              </w:rPr>
            </w:pPr>
            <w:r>
              <w:rPr>
                <w:rFonts w:ascii="Arial" w:cs="Arial" w:eastAsia="Arial" w:hAnsi="Arial"/>
                <w:sz w:val="18"/>
                <w:szCs w:val="18"/>
                <w:color w:val="auto"/>
              </w:rPr>
              <w:t>Vacancies</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3680" w:type="dxa"/>
            <w:vAlign w:val="bottom"/>
          </w:tcPr>
          <w:p>
            <w:pPr>
              <w:ind w:left="200"/>
              <w:spacing w:after="0"/>
              <w:rPr>
                <w:sz w:val="20"/>
                <w:szCs w:val="20"/>
                <w:color w:val="auto"/>
              </w:rPr>
            </w:pPr>
            <w:r>
              <w:rPr>
                <w:rFonts w:ascii="Arial" w:cs="Arial" w:eastAsia="Arial" w:hAnsi="Arial"/>
                <w:sz w:val="18"/>
                <w:szCs w:val="18"/>
                <w:color w:val="auto"/>
              </w:rPr>
              <w:t>Duties and Powers</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3680" w:type="dxa"/>
            <w:vAlign w:val="bottom"/>
          </w:tcPr>
          <w:p>
            <w:pPr>
              <w:ind w:left="200"/>
              <w:spacing w:after="0"/>
              <w:rPr>
                <w:sz w:val="20"/>
                <w:szCs w:val="20"/>
                <w:color w:val="auto"/>
              </w:rPr>
            </w:pPr>
            <w:r>
              <w:rPr>
                <w:rFonts w:ascii="Arial" w:cs="Arial" w:eastAsia="Arial" w:hAnsi="Arial"/>
                <w:sz w:val="18"/>
                <w:szCs w:val="18"/>
                <w:color w:val="auto"/>
              </w:rPr>
              <w:t>Meetings</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w:t>
            </w:r>
          </w:p>
        </w:tc>
        <w:tc>
          <w:tcPr>
            <w:tcW w:w="3680" w:type="dxa"/>
            <w:vAlign w:val="bottom"/>
          </w:tcPr>
          <w:p>
            <w:pPr>
              <w:ind w:left="200"/>
              <w:spacing w:after="0"/>
              <w:rPr>
                <w:sz w:val="20"/>
                <w:szCs w:val="20"/>
                <w:color w:val="auto"/>
              </w:rPr>
            </w:pPr>
            <w:r>
              <w:rPr>
                <w:rFonts w:ascii="Arial" w:cs="Arial" w:eastAsia="Arial" w:hAnsi="Arial"/>
                <w:sz w:val="18"/>
                <w:szCs w:val="18"/>
                <w:color w:val="auto"/>
              </w:rPr>
              <w:t>Organization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w:t>
            </w:r>
          </w:p>
        </w:tc>
        <w:tc>
          <w:tcPr>
            <w:tcW w:w="3680" w:type="dxa"/>
            <w:vAlign w:val="bottom"/>
          </w:tcPr>
          <w:p>
            <w:pPr>
              <w:ind w:left="200"/>
              <w:spacing w:after="0"/>
              <w:rPr>
                <w:sz w:val="20"/>
                <w:szCs w:val="20"/>
                <w:color w:val="auto"/>
              </w:rPr>
            </w:pPr>
            <w:r>
              <w:rPr>
                <w:rFonts w:ascii="Arial" w:cs="Arial" w:eastAsia="Arial" w:hAnsi="Arial"/>
                <w:sz w:val="18"/>
                <w:szCs w:val="18"/>
                <w:color w:val="auto"/>
              </w:rPr>
              <w:t>Resignations and Removals of Directors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7.</w:t>
            </w:r>
          </w:p>
        </w:tc>
        <w:tc>
          <w:tcPr>
            <w:tcW w:w="3680" w:type="dxa"/>
            <w:vAlign w:val="bottom"/>
          </w:tcPr>
          <w:p>
            <w:pPr>
              <w:ind w:left="200"/>
              <w:spacing w:after="0"/>
              <w:rPr>
                <w:sz w:val="20"/>
                <w:szCs w:val="20"/>
                <w:color w:val="auto"/>
              </w:rPr>
            </w:pPr>
            <w:r>
              <w:rPr>
                <w:rFonts w:ascii="Arial" w:cs="Arial" w:eastAsia="Arial" w:hAnsi="Arial"/>
                <w:sz w:val="18"/>
                <w:szCs w:val="18"/>
                <w:color w:val="auto"/>
              </w:rPr>
              <w:t>Quorum</w:t>
            </w:r>
          </w:p>
        </w:tc>
        <w:tc>
          <w:tcPr>
            <w:tcW w:w="6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w:t>
            </w:r>
          </w:p>
        </w:tc>
        <w:tc>
          <w:tcPr>
            <w:tcW w:w="3680" w:type="dxa"/>
            <w:vAlign w:val="bottom"/>
          </w:tcPr>
          <w:p>
            <w:pPr>
              <w:ind w:left="200"/>
              <w:spacing w:after="0"/>
              <w:rPr>
                <w:sz w:val="20"/>
                <w:szCs w:val="20"/>
                <w:color w:val="auto"/>
              </w:rPr>
            </w:pPr>
            <w:r>
              <w:rPr>
                <w:rFonts w:ascii="Arial" w:cs="Arial" w:eastAsia="Arial" w:hAnsi="Arial"/>
                <w:sz w:val="18"/>
                <w:szCs w:val="18"/>
                <w:color w:val="auto"/>
              </w:rPr>
              <w:t>Actions of the Board by Written Consent</w:t>
            </w:r>
          </w:p>
        </w:tc>
        <w:tc>
          <w:tcPr>
            <w:tcW w:w="6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9.</w:t>
            </w:r>
          </w:p>
        </w:tc>
        <w:tc>
          <w:tcPr>
            <w:tcW w:w="3680" w:type="dxa"/>
            <w:vAlign w:val="bottom"/>
          </w:tcPr>
          <w:p>
            <w:pPr>
              <w:ind w:left="200"/>
              <w:spacing w:after="0"/>
              <w:rPr>
                <w:sz w:val="20"/>
                <w:szCs w:val="20"/>
                <w:color w:val="auto"/>
              </w:rPr>
            </w:pPr>
            <w:r>
              <w:rPr>
                <w:rFonts w:ascii="Arial" w:cs="Arial" w:eastAsia="Arial" w:hAnsi="Arial"/>
                <w:sz w:val="18"/>
                <w:szCs w:val="18"/>
                <w:color w:val="auto"/>
                <w:w w:val="94"/>
              </w:rPr>
              <w:t>Meetings by Means of Conference Telephone</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10.</w:t>
            </w:r>
          </w:p>
        </w:tc>
        <w:tc>
          <w:tcPr>
            <w:tcW w:w="3680" w:type="dxa"/>
            <w:vAlign w:val="bottom"/>
          </w:tcPr>
          <w:p>
            <w:pPr>
              <w:ind w:left="200"/>
              <w:spacing w:after="0"/>
              <w:rPr>
                <w:sz w:val="20"/>
                <w:szCs w:val="20"/>
                <w:color w:val="auto"/>
              </w:rPr>
            </w:pPr>
            <w:r>
              <w:rPr>
                <w:rFonts w:ascii="Arial" w:cs="Arial" w:eastAsia="Arial" w:hAnsi="Arial"/>
                <w:sz w:val="18"/>
                <w:szCs w:val="18"/>
                <w:color w:val="auto"/>
              </w:rPr>
              <w:t>Committees</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3680" w:type="dxa"/>
            <w:vAlign w:val="bottom"/>
          </w:tcPr>
          <w:p>
            <w:pPr>
              <w:ind w:left="200"/>
              <w:spacing w:after="0"/>
              <w:rPr>
                <w:sz w:val="20"/>
                <w:szCs w:val="20"/>
                <w:color w:val="auto"/>
              </w:rPr>
            </w:pPr>
            <w:r>
              <w:rPr>
                <w:rFonts w:ascii="Arial" w:cs="Arial" w:eastAsia="Arial" w:hAnsi="Arial"/>
                <w:sz w:val="18"/>
                <w:szCs w:val="18"/>
                <w:color w:val="auto"/>
              </w:rPr>
              <w:t>Subcommittees</w:t>
            </w:r>
          </w:p>
        </w:tc>
        <w:tc>
          <w:tcPr>
            <w:tcW w:w="6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36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3680" w:type="dxa"/>
            <w:vAlign w:val="bottom"/>
          </w:tcPr>
          <w:p>
            <w:pPr>
              <w:ind w:left="200"/>
              <w:spacing w:after="0"/>
              <w:rPr>
                <w:sz w:val="20"/>
                <w:szCs w:val="20"/>
                <w:color w:val="auto"/>
              </w:rPr>
            </w:pPr>
            <w:r>
              <w:rPr>
                <w:rFonts w:ascii="Arial" w:cs="Arial" w:eastAsia="Arial" w:hAnsi="Arial"/>
                <w:sz w:val="18"/>
                <w:szCs w:val="18"/>
                <w:color w:val="auto"/>
              </w:rPr>
              <w:t>Interested Directors</w:t>
            </w:r>
          </w:p>
        </w:tc>
        <w:tc>
          <w:tcPr>
            <w:tcW w:w="6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10"/>
              <w:spacing w:after="0"/>
              <w:rPr>
                <w:sz w:val="20"/>
                <w:szCs w:val="20"/>
                <w:color w:val="auto"/>
              </w:rPr>
            </w:pPr>
            <w:r>
              <w:rPr>
                <w:rFonts w:ascii="Arial" w:cs="Arial" w:eastAsia="Arial" w:hAnsi="Arial"/>
                <w:sz w:val="18"/>
                <w:szCs w:val="18"/>
                <w:color w:val="auto"/>
                <w:w w:val="99"/>
              </w:rPr>
              <w:t>ARTICLE IV</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30"/>
              <w:spacing w:after="0"/>
              <w:rPr>
                <w:sz w:val="20"/>
                <w:szCs w:val="20"/>
                <w:color w:val="auto"/>
              </w:rPr>
            </w:pPr>
            <w:r>
              <w:rPr>
                <w:rFonts w:ascii="Arial" w:cs="Arial" w:eastAsia="Arial" w:hAnsi="Arial"/>
                <w:sz w:val="18"/>
                <w:szCs w:val="18"/>
                <w:color w:val="auto"/>
                <w:w w:val="92"/>
              </w:rPr>
              <w:t>OFFICERS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680" w:type="dxa"/>
            <w:vAlign w:val="bottom"/>
          </w:tcPr>
          <w:p>
            <w:pPr>
              <w:ind w:left="200"/>
              <w:spacing w:after="0"/>
              <w:rPr>
                <w:sz w:val="20"/>
                <w:szCs w:val="20"/>
                <w:color w:val="auto"/>
              </w:rPr>
            </w:pPr>
            <w:r>
              <w:rPr>
                <w:rFonts w:ascii="Arial" w:cs="Arial" w:eastAsia="Arial" w:hAnsi="Arial"/>
                <w:sz w:val="18"/>
                <w:szCs w:val="18"/>
                <w:color w:val="auto"/>
              </w:rPr>
              <w:t>General</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680" w:type="dxa"/>
            <w:vAlign w:val="bottom"/>
          </w:tcPr>
          <w:p>
            <w:pPr>
              <w:ind w:left="200"/>
              <w:spacing w:after="0"/>
              <w:rPr>
                <w:sz w:val="20"/>
                <w:szCs w:val="20"/>
                <w:color w:val="auto"/>
              </w:rPr>
            </w:pPr>
            <w:r>
              <w:rPr>
                <w:rFonts w:ascii="Arial" w:cs="Arial" w:eastAsia="Arial" w:hAnsi="Arial"/>
                <w:sz w:val="18"/>
                <w:szCs w:val="18"/>
                <w:color w:val="auto"/>
              </w:rPr>
              <w:t>Election</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3680" w:type="dxa"/>
            <w:vAlign w:val="bottom"/>
          </w:tcPr>
          <w:p>
            <w:pPr>
              <w:ind w:left="200"/>
              <w:spacing w:after="0"/>
              <w:rPr>
                <w:sz w:val="20"/>
                <w:szCs w:val="20"/>
                <w:color w:val="auto"/>
              </w:rPr>
            </w:pPr>
            <w:r>
              <w:rPr>
                <w:rFonts w:ascii="Arial" w:cs="Arial" w:eastAsia="Arial" w:hAnsi="Arial"/>
                <w:sz w:val="18"/>
                <w:szCs w:val="18"/>
                <w:color w:val="auto"/>
                <w:w w:val="98"/>
              </w:rPr>
              <w:t>Voting Securities Owned by the Corporation</w:t>
            </w:r>
          </w:p>
        </w:tc>
        <w:tc>
          <w:tcPr>
            <w:tcW w:w="6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3680" w:type="dxa"/>
            <w:vAlign w:val="bottom"/>
          </w:tcPr>
          <w:p>
            <w:pPr>
              <w:ind w:left="200"/>
              <w:spacing w:after="0"/>
              <w:rPr>
                <w:sz w:val="20"/>
                <w:szCs w:val="20"/>
                <w:color w:val="auto"/>
              </w:rPr>
            </w:pPr>
            <w:r>
              <w:rPr>
                <w:rFonts w:ascii="Arial" w:cs="Arial" w:eastAsia="Arial" w:hAnsi="Arial"/>
                <w:sz w:val="18"/>
                <w:szCs w:val="18"/>
                <w:color w:val="auto"/>
              </w:rPr>
              <w:t>Chairman of the Board of Directors</w:t>
            </w:r>
          </w:p>
        </w:tc>
        <w:tc>
          <w:tcPr>
            <w:tcW w:w="6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w:t>
            </w:r>
          </w:p>
        </w:tc>
        <w:tc>
          <w:tcPr>
            <w:tcW w:w="3680" w:type="dxa"/>
            <w:vAlign w:val="bottom"/>
          </w:tcPr>
          <w:p>
            <w:pPr>
              <w:ind w:left="200"/>
              <w:spacing w:after="0"/>
              <w:rPr>
                <w:sz w:val="20"/>
                <w:szCs w:val="20"/>
                <w:color w:val="auto"/>
              </w:rPr>
            </w:pPr>
            <w:r>
              <w:rPr>
                <w:rFonts w:ascii="Arial" w:cs="Arial" w:eastAsia="Arial" w:hAnsi="Arial"/>
                <w:sz w:val="18"/>
                <w:szCs w:val="18"/>
                <w:color w:val="auto"/>
              </w:rPr>
              <w:t>President</w:t>
            </w:r>
          </w:p>
        </w:tc>
        <w:tc>
          <w:tcPr>
            <w:tcW w:w="6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w:t>
            </w:r>
          </w:p>
        </w:tc>
        <w:tc>
          <w:tcPr>
            <w:tcW w:w="3680" w:type="dxa"/>
            <w:vAlign w:val="bottom"/>
          </w:tcPr>
          <w:p>
            <w:pPr>
              <w:ind w:left="200"/>
              <w:spacing w:after="0"/>
              <w:rPr>
                <w:sz w:val="20"/>
                <w:szCs w:val="20"/>
                <w:color w:val="auto"/>
              </w:rPr>
            </w:pPr>
            <w:r>
              <w:rPr>
                <w:rFonts w:ascii="Arial" w:cs="Arial" w:eastAsia="Arial" w:hAnsi="Arial"/>
                <w:sz w:val="18"/>
                <w:szCs w:val="18"/>
                <w:color w:val="auto"/>
              </w:rPr>
              <w:t>Vice Presidents</w:t>
            </w:r>
          </w:p>
        </w:tc>
        <w:tc>
          <w:tcPr>
            <w:tcW w:w="6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7.</w:t>
            </w:r>
          </w:p>
        </w:tc>
        <w:tc>
          <w:tcPr>
            <w:tcW w:w="368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6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w:t>
            </w:r>
          </w:p>
        </w:tc>
        <w:tc>
          <w:tcPr>
            <w:tcW w:w="3680" w:type="dxa"/>
            <w:vAlign w:val="bottom"/>
          </w:tcPr>
          <w:p>
            <w:pPr>
              <w:ind w:left="200"/>
              <w:spacing w:after="0"/>
              <w:rPr>
                <w:sz w:val="20"/>
                <w:szCs w:val="20"/>
                <w:color w:val="auto"/>
              </w:rPr>
            </w:pPr>
            <w:r>
              <w:rPr>
                <w:rFonts w:ascii="Arial" w:cs="Arial" w:eastAsia="Arial" w:hAnsi="Arial"/>
                <w:sz w:val="18"/>
                <w:szCs w:val="18"/>
                <w:color w:val="auto"/>
              </w:rPr>
              <w:t>Treasurer</w:t>
            </w:r>
          </w:p>
        </w:tc>
        <w:tc>
          <w:tcPr>
            <w:tcW w:w="6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9.</w:t>
            </w:r>
          </w:p>
        </w:tc>
        <w:tc>
          <w:tcPr>
            <w:tcW w:w="3680" w:type="dxa"/>
            <w:vAlign w:val="bottom"/>
          </w:tcPr>
          <w:p>
            <w:pPr>
              <w:ind w:left="200"/>
              <w:spacing w:after="0"/>
              <w:rPr>
                <w:sz w:val="20"/>
                <w:szCs w:val="20"/>
                <w:color w:val="auto"/>
              </w:rPr>
            </w:pPr>
            <w:r>
              <w:rPr>
                <w:rFonts w:ascii="Arial" w:cs="Arial" w:eastAsia="Arial" w:hAnsi="Arial"/>
                <w:sz w:val="18"/>
                <w:szCs w:val="18"/>
                <w:color w:val="auto"/>
              </w:rPr>
              <w:t>Assistant Secretaries</w:t>
            </w:r>
          </w:p>
        </w:tc>
        <w:tc>
          <w:tcPr>
            <w:tcW w:w="6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10.</w:t>
            </w:r>
          </w:p>
        </w:tc>
        <w:tc>
          <w:tcPr>
            <w:tcW w:w="3680" w:type="dxa"/>
            <w:vAlign w:val="bottom"/>
          </w:tcPr>
          <w:p>
            <w:pPr>
              <w:ind w:left="200"/>
              <w:spacing w:after="0"/>
              <w:rPr>
                <w:sz w:val="20"/>
                <w:szCs w:val="20"/>
                <w:color w:val="auto"/>
              </w:rPr>
            </w:pPr>
            <w:r>
              <w:rPr>
                <w:rFonts w:ascii="Arial" w:cs="Arial" w:eastAsia="Arial" w:hAnsi="Arial"/>
                <w:sz w:val="18"/>
                <w:szCs w:val="18"/>
                <w:color w:val="auto"/>
              </w:rPr>
              <w:t>Assistant Treasurers</w:t>
            </w:r>
          </w:p>
        </w:tc>
        <w:tc>
          <w:tcPr>
            <w:tcW w:w="6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3680" w:type="dxa"/>
            <w:vAlign w:val="bottom"/>
          </w:tcPr>
          <w:p>
            <w:pPr>
              <w:ind w:left="200"/>
              <w:spacing w:after="0"/>
              <w:rPr>
                <w:sz w:val="20"/>
                <w:szCs w:val="20"/>
                <w:color w:val="auto"/>
              </w:rPr>
            </w:pPr>
            <w:r>
              <w:rPr>
                <w:rFonts w:ascii="Arial" w:cs="Arial" w:eastAsia="Arial" w:hAnsi="Arial"/>
                <w:sz w:val="18"/>
                <w:szCs w:val="18"/>
                <w:color w:val="auto"/>
              </w:rPr>
              <w:t>Other Officers</w:t>
            </w:r>
          </w:p>
        </w:tc>
        <w:tc>
          <w:tcPr>
            <w:tcW w:w="6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30"/>
              <w:spacing w:after="0"/>
              <w:rPr>
                <w:sz w:val="20"/>
                <w:szCs w:val="20"/>
                <w:color w:val="auto"/>
              </w:rPr>
            </w:pPr>
            <w:r>
              <w:rPr>
                <w:rFonts w:ascii="Arial" w:cs="Arial" w:eastAsia="Arial" w:hAnsi="Arial"/>
                <w:sz w:val="18"/>
                <w:szCs w:val="18"/>
                <w:color w:val="auto"/>
                <w:w w:val="98"/>
              </w:rPr>
              <w:t>ARTICLE V</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10"/>
              <w:spacing w:after="0"/>
              <w:rPr>
                <w:sz w:val="20"/>
                <w:szCs w:val="20"/>
                <w:color w:val="auto"/>
              </w:rPr>
            </w:pPr>
            <w:r>
              <w:rPr>
                <w:rFonts w:ascii="Arial" w:cs="Arial" w:eastAsia="Arial" w:hAnsi="Arial"/>
                <w:sz w:val="18"/>
                <w:szCs w:val="18"/>
                <w:color w:val="auto"/>
                <w:w w:val="93"/>
              </w:rPr>
              <w:t>STOCK</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680" w:type="dxa"/>
            <w:vAlign w:val="bottom"/>
          </w:tcPr>
          <w:p>
            <w:pPr>
              <w:ind w:left="200"/>
              <w:spacing w:after="0"/>
              <w:rPr>
                <w:sz w:val="20"/>
                <w:szCs w:val="20"/>
                <w:color w:val="auto"/>
              </w:rPr>
            </w:pPr>
            <w:r>
              <w:rPr>
                <w:rFonts w:ascii="Arial" w:cs="Arial" w:eastAsia="Arial" w:hAnsi="Arial"/>
                <w:sz w:val="18"/>
                <w:szCs w:val="18"/>
                <w:color w:val="auto"/>
              </w:rPr>
              <w:t>Shares of Stock</w:t>
            </w:r>
          </w:p>
        </w:tc>
        <w:tc>
          <w:tcPr>
            <w:tcW w:w="6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68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6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368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3680" w:type="dxa"/>
            <w:vAlign w:val="bottom"/>
          </w:tcPr>
          <w:p>
            <w:pPr>
              <w:ind w:left="200"/>
              <w:spacing w:after="0"/>
              <w:rPr>
                <w:sz w:val="20"/>
                <w:szCs w:val="20"/>
                <w:color w:val="auto"/>
              </w:rPr>
            </w:pPr>
            <w:r>
              <w:rPr>
                <w:rFonts w:ascii="Arial" w:cs="Arial" w:eastAsia="Arial" w:hAnsi="Arial"/>
                <w:sz w:val="18"/>
                <w:szCs w:val="18"/>
                <w:color w:val="auto"/>
              </w:rPr>
              <w:t>Transfers</w:t>
            </w:r>
          </w:p>
        </w:tc>
        <w:tc>
          <w:tcPr>
            <w:tcW w:w="6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w:t>
            </w:r>
          </w:p>
        </w:tc>
        <w:tc>
          <w:tcPr>
            <w:tcW w:w="3680" w:type="dxa"/>
            <w:vAlign w:val="bottom"/>
          </w:tcPr>
          <w:p>
            <w:pPr>
              <w:ind w:left="200"/>
              <w:spacing w:after="0"/>
              <w:rPr>
                <w:sz w:val="20"/>
                <w:szCs w:val="20"/>
                <w:color w:val="auto"/>
              </w:rPr>
            </w:pPr>
            <w:r>
              <w:rPr>
                <w:rFonts w:ascii="Arial" w:cs="Arial" w:eastAsia="Arial" w:hAnsi="Arial"/>
                <w:sz w:val="18"/>
                <w:szCs w:val="18"/>
                <w:color w:val="auto"/>
              </w:rPr>
              <w:t>Dividend Record Date</w:t>
            </w:r>
          </w:p>
        </w:tc>
        <w:tc>
          <w:tcPr>
            <w:tcW w:w="6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w:t>
            </w:r>
          </w:p>
        </w:tc>
        <w:tc>
          <w:tcPr>
            <w:tcW w:w="3680" w:type="dxa"/>
            <w:vAlign w:val="bottom"/>
          </w:tcPr>
          <w:p>
            <w:pPr>
              <w:ind w:left="200"/>
              <w:spacing w:after="0"/>
              <w:rPr>
                <w:sz w:val="20"/>
                <w:szCs w:val="20"/>
                <w:color w:val="auto"/>
              </w:rPr>
            </w:pPr>
            <w:r>
              <w:rPr>
                <w:rFonts w:ascii="Arial" w:cs="Arial" w:eastAsia="Arial" w:hAnsi="Arial"/>
                <w:sz w:val="18"/>
                <w:szCs w:val="18"/>
                <w:color w:val="auto"/>
              </w:rPr>
              <w:t>Record Owners</w:t>
            </w:r>
          </w:p>
        </w:tc>
        <w:tc>
          <w:tcPr>
            <w:tcW w:w="6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7.</w:t>
            </w:r>
          </w:p>
        </w:tc>
        <w:tc>
          <w:tcPr>
            <w:tcW w:w="3680" w:type="dxa"/>
            <w:vAlign w:val="bottom"/>
          </w:tcPr>
          <w:p>
            <w:pPr>
              <w:ind w:left="200"/>
              <w:spacing w:after="0"/>
              <w:rPr>
                <w:sz w:val="20"/>
                <w:szCs w:val="20"/>
                <w:color w:val="auto"/>
              </w:rPr>
            </w:pPr>
            <w:r>
              <w:rPr>
                <w:rFonts w:ascii="Arial" w:cs="Arial" w:eastAsia="Arial" w:hAnsi="Arial"/>
                <w:sz w:val="18"/>
                <w:szCs w:val="18"/>
                <w:color w:val="auto"/>
              </w:rPr>
              <w:t>Transfer and Registry Agents</w:t>
            </w:r>
          </w:p>
        </w:tc>
        <w:tc>
          <w:tcPr>
            <w:tcW w:w="6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10"/>
              <w:spacing w:after="0"/>
              <w:rPr>
                <w:sz w:val="20"/>
                <w:szCs w:val="20"/>
                <w:color w:val="auto"/>
              </w:rPr>
            </w:pPr>
            <w:r>
              <w:rPr>
                <w:rFonts w:ascii="Arial" w:cs="Arial" w:eastAsia="Arial" w:hAnsi="Arial"/>
                <w:sz w:val="18"/>
                <w:szCs w:val="18"/>
                <w:color w:val="auto"/>
                <w:w w:val="99"/>
              </w:rPr>
              <w:t>ARTICLE VI</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30"/>
              <w:spacing w:after="0"/>
              <w:rPr>
                <w:sz w:val="20"/>
                <w:szCs w:val="20"/>
                <w:color w:val="auto"/>
              </w:rPr>
            </w:pPr>
            <w:r>
              <w:rPr>
                <w:rFonts w:ascii="Arial" w:cs="Arial" w:eastAsia="Arial" w:hAnsi="Arial"/>
                <w:sz w:val="18"/>
                <w:szCs w:val="18"/>
                <w:color w:val="auto"/>
                <w:w w:val="94"/>
              </w:rPr>
              <w:t>NOTICES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680" w:type="dxa"/>
            <w:vAlign w:val="bottom"/>
          </w:tcPr>
          <w:p>
            <w:pPr>
              <w:ind w:left="200"/>
              <w:spacing w:after="0"/>
              <w:rPr>
                <w:sz w:val="20"/>
                <w:szCs w:val="20"/>
                <w:color w:val="auto"/>
              </w:rPr>
            </w:pPr>
            <w:r>
              <w:rPr>
                <w:rFonts w:ascii="Arial" w:cs="Arial" w:eastAsia="Arial" w:hAnsi="Arial"/>
                <w:sz w:val="18"/>
                <w:szCs w:val="18"/>
                <w:color w:val="auto"/>
              </w:rPr>
              <w:t>Notices</w:t>
            </w:r>
          </w:p>
        </w:tc>
        <w:tc>
          <w:tcPr>
            <w:tcW w:w="6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680" w:type="dxa"/>
            <w:vAlign w:val="bottom"/>
          </w:tcPr>
          <w:p>
            <w:pPr>
              <w:ind w:left="200"/>
              <w:spacing w:after="0"/>
              <w:rPr>
                <w:sz w:val="20"/>
                <w:szCs w:val="20"/>
                <w:color w:val="auto"/>
              </w:rPr>
            </w:pPr>
            <w:r>
              <w:rPr>
                <w:rFonts w:ascii="Arial" w:cs="Arial" w:eastAsia="Arial" w:hAnsi="Arial"/>
                <w:sz w:val="18"/>
                <w:szCs w:val="18"/>
                <w:color w:val="auto"/>
              </w:rPr>
              <w:t>Waivers of Notice</w:t>
            </w:r>
          </w:p>
        </w:tc>
        <w:tc>
          <w:tcPr>
            <w:tcW w:w="6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30"/>
              <w:spacing w:after="0"/>
              <w:rPr>
                <w:sz w:val="20"/>
                <w:szCs w:val="20"/>
                <w:color w:val="auto"/>
              </w:rPr>
            </w:pPr>
            <w:r>
              <w:rPr>
                <w:rFonts w:ascii="Arial" w:cs="Arial" w:eastAsia="Arial" w:hAnsi="Arial"/>
                <w:sz w:val="18"/>
                <w:szCs w:val="18"/>
                <w:color w:val="auto"/>
              </w:rPr>
              <w:t>ARTICLE VII</w:t>
            </w:r>
          </w:p>
        </w:tc>
      </w:tr>
      <w:tr>
        <w:trPr>
          <w:trHeight w:val="432"/>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tcPr>
          <w:p>
            <w:pPr>
              <w:jc w:val="center"/>
              <w:ind w:right="4010"/>
              <w:spacing w:after="0"/>
              <w:rPr>
                <w:sz w:val="20"/>
                <w:szCs w:val="20"/>
                <w:color w:val="auto"/>
              </w:rPr>
            </w:pPr>
            <w:r>
              <w:rPr>
                <w:rFonts w:ascii="Arial" w:cs="Arial" w:eastAsia="Arial" w:hAnsi="Arial"/>
                <w:sz w:val="18"/>
                <w:szCs w:val="18"/>
                <w:color w:val="auto"/>
                <w:w w:val="95"/>
              </w:rPr>
              <w:t>GENERAL PROVISIONS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36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6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3680" w:type="dxa"/>
            <w:vAlign w:val="bottom"/>
          </w:tcPr>
          <w:p>
            <w:pPr>
              <w:ind w:left="200"/>
              <w:spacing w:after="0"/>
              <w:rPr>
                <w:sz w:val="20"/>
                <w:szCs w:val="20"/>
                <w:color w:val="auto"/>
              </w:rPr>
            </w:pPr>
            <w:r>
              <w:rPr>
                <w:rFonts w:ascii="Arial" w:cs="Arial" w:eastAsia="Arial" w:hAnsi="Arial"/>
                <w:sz w:val="18"/>
                <w:szCs w:val="18"/>
                <w:color w:val="auto"/>
              </w:rPr>
              <w:t>Disbursements</w:t>
            </w:r>
          </w:p>
        </w:tc>
        <w:tc>
          <w:tcPr>
            <w:tcW w:w="6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368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6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3680" w:type="dxa"/>
            <w:vAlign w:val="bottom"/>
          </w:tcPr>
          <w:p>
            <w:pPr>
              <w:ind w:left="200"/>
              <w:spacing w:after="0"/>
              <w:rPr>
                <w:sz w:val="20"/>
                <w:szCs w:val="20"/>
                <w:color w:val="auto"/>
              </w:rPr>
            </w:pPr>
            <w:r>
              <w:rPr>
                <w:rFonts w:ascii="Arial" w:cs="Arial" w:eastAsia="Arial" w:hAnsi="Arial"/>
                <w:sz w:val="18"/>
                <w:szCs w:val="18"/>
                <w:color w:val="auto"/>
              </w:rPr>
              <w:t>Corporate Seal</w:t>
            </w:r>
          </w:p>
        </w:tc>
        <w:tc>
          <w:tcPr>
            <w:tcW w:w="64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8940" w:type="dxa"/>
            <w:vAlign w:val="bottom"/>
          </w:tcPr>
          <w:p>
            <w:pPr>
              <w:jc w:val="center"/>
              <w:ind w:left="670"/>
              <w:spacing w:after="0"/>
              <w:rPr>
                <w:sz w:val="20"/>
                <w:szCs w:val="20"/>
                <w:color w:val="auto"/>
              </w:rPr>
            </w:pPr>
            <w:r>
              <w:rPr>
                <w:rFonts w:ascii="Arial" w:cs="Arial" w:eastAsia="Arial" w:hAnsi="Arial"/>
                <w:sz w:val="18"/>
                <w:szCs w:val="18"/>
                <w:color w:val="auto"/>
              </w:rPr>
              <w:t>ARTICLE VIII</w:t>
            </w:r>
          </w:p>
        </w:tc>
        <w:tc>
          <w:tcPr>
            <w:tcW w:w="118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8940" w:type="dxa"/>
            <w:vAlign w:val="bottom"/>
          </w:tcPr>
          <w:p>
            <w:pPr>
              <w:jc w:val="center"/>
              <w:ind w:left="650"/>
              <w:spacing w:after="0"/>
              <w:rPr>
                <w:sz w:val="20"/>
                <w:szCs w:val="20"/>
                <w:color w:val="auto"/>
              </w:rPr>
            </w:pPr>
            <w:r>
              <w:rPr>
                <w:rFonts w:ascii="Arial" w:cs="Arial" w:eastAsia="Arial" w:hAnsi="Arial"/>
                <w:sz w:val="18"/>
                <w:szCs w:val="18"/>
                <w:color w:val="auto"/>
                <w:w w:val="99"/>
              </w:rPr>
              <w:t>INDEMNIFICATION</w:t>
            </w:r>
          </w:p>
        </w:tc>
        <w:tc>
          <w:tcPr>
            <w:tcW w:w="118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894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894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w:t>
            </w:r>
          </w:p>
        </w:tc>
        <w:tc>
          <w:tcPr>
            <w:tcW w:w="8940" w:type="dxa"/>
            <w:vAlign w:val="bottom"/>
          </w:tcPr>
          <w:p>
            <w:pPr>
              <w:ind w:left="200"/>
              <w:spacing w:after="0"/>
              <w:rPr>
                <w:sz w:val="20"/>
                <w:szCs w:val="20"/>
                <w:color w:val="auto"/>
              </w:rPr>
            </w:pPr>
            <w:r>
              <w:rPr>
                <w:rFonts w:ascii="Arial" w:cs="Arial" w:eastAsia="Arial" w:hAnsi="Arial"/>
                <w:sz w:val="18"/>
                <w:szCs w:val="18"/>
                <w:color w:val="auto"/>
              </w:rPr>
              <w:t>Authorization of Indemnification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w:t>
            </w:r>
          </w:p>
        </w:tc>
        <w:tc>
          <w:tcPr>
            <w:tcW w:w="8940" w:type="dxa"/>
            <w:vAlign w:val="bottom"/>
          </w:tcPr>
          <w:p>
            <w:pPr>
              <w:ind w:left="200"/>
              <w:spacing w:after="0"/>
              <w:rPr>
                <w:sz w:val="20"/>
                <w:szCs w:val="20"/>
                <w:color w:val="auto"/>
              </w:rPr>
            </w:pPr>
            <w:r>
              <w:rPr>
                <w:rFonts w:ascii="Arial" w:cs="Arial" w:eastAsia="Arial" w:hAnsi="Arial"/>
                <w:sz w:val="18"/>
                <w:szCs w:val="18"/>
                <w:color w:val="auto"/>
              </w:rPr>
              <w:t>Good Faith Defined</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5.</w:t>
            </w:r>
          </w:p>
        </w:tc>
        <w:tc>
          <w:tcPr>
            <w:tcW w:w="8940" w:type="dxa"/>
            <w:vAlign w:val="bottom"/>
          </w:tcPr>
          <w:p>
            <w:pPr>
              <w:ind w:left="200"/>
              <w:spacing w:after="0"/>
              <w:rPr>
                <w:sz w:val="20"/>
                <w:szCs w:val="20"/>
                <w:color w:val="auto"/>
              </w:rPr>
            </w:pPr>
            <w:r>
              <w:rPr>
                <w:rFonts w:ascii="Arial" w:cs="Arial" w:eastAsia="Arial" w:hAnsi="Arial"/>
                <w:sz w:val="18"/>
                <w:szCs w:val="18"/>
                <w:color w:val="auto"/>
              </w:rPr>
              <w:t>Indemnification by a Court</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6.</w:t>
            </w:r>
          </w:p>
        </w:tc>
        <w:tc>
          <w:tcPr>
            <w:tcW w:w="8940" w:type="dxa"/>
            <w:vAlign w:val="bottom"/>
          </w:tcPr>
          <w:p>
            <w:pPr>
              <w:ind w:left="200"/>
              <w:spacing w:after="0"/>
              <w:rPr>
                <w:sz w:val="20"/>
                <w:szCs w:val="20"/>
                <w:color w:val="auto"/>
              </w:rPr>
            </w:pPr>
            <w:r>
              <w:rPr>
                <w:rFonts w:ascii="Arial" w:cs="Arial" w:eastAsia="Arial" w:hAnsi="Arial"/>
                <w:sz w:val="18"/>
                <w:szCs w:val="18"/>
                <w:color w:val="auto"/>
              </w:rPr>
              <w:t>Expenses Payable in Advance</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7.</w:t>
            </w:r>
          </w:p>
        </w:tc>
        <w:tc>
          <w:tcPr>
            <w:tcW w:w="8940" w:type="dxa"/>
            <w:vAlign w:val="bottom"/>
          </w:tcPr>
          <w:p>
            <w:pPr>
              <w:ind w:left="200"/>
              <w:spacing w:after="0"/>
              <w:rPr>
                <w:sz w:val="20"/>
                <w:szCs w:val="20"/>
                <w:color w:val="auto"/>
              </w:rPr>
            </w:pPr>
            <w:r>
              <w:rPr>
                <w:rFonts w:ascii="Arial" w:cs="Arial" w:eastAsia="Arial" w:hAnsi="Arial"/>
                <w:sz w:val="18"/>
                <w:szCs w:val="18"/>
                <w:color w:val="auto"/>
              </w:rPr>
              <w:t>Nonexclusivity of Indemnification and Advancement of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w:t>
            </w:r>
          </w:p>
        </w:tc>
        <w:tc>
          <w:tcPr>
            <w:tcW w:w="89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9.</w:t>
            </w:r>
          </w:p>
        </w:tc>
        <w:tc>
          <w:tcPr>
            <w:tcW w:w="894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10.</w:t>
            </w:r>
          </w:p>
        </w:tc>
        <w:tc>
          <w:tcPr>
            <w:tcW w:w="8940" w:type="dxa"/>
            <w:vAlign w:val="bottom"/>
          </w:tcPr>
          <w:p>
            <w:pPr>
              <w:ind w:left="200"/>
              <w:spacing w:after="0"/>
              <w:rPr>
                <w:sz w:val="20"/>
                <w:szCs w:val="20"/>
                <w:color w:val="auto"/>
              </w:rPr>
            </w:pPr>
            <w:r>
              <w:rPr>
                <w:rFonts w:ascii="Arial" w:cs="Arial" w:eastAsia="Arial" w:hAnsi="Arial"/>
                <w:sz w:val="18"/>
                <w:szCs w:val="18"/>
                <w:color w:val="auto"/>
              </w:rPr>
              <w:t>Survival of Indemnification and Advancement of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8940" w:type="dxa"/>
            <w:vAlign w:val="bottom"/>
          </w:tcPr>
          <w:p>
            <w:pPr>
              <w:ind w:left="200"/>
              <w:spacing w:after="0"/>
              <w:rPr>
                <w:sz w:val="20"/>
                <w:szCs w:val="20"/>
                <w:color w:val="auto"/>
              </w:rPr>
            </w:pPr>
            <w:r>
              <w:rPr>
                <w:rFonts w:ascii="Arial" w:cs="Arial" w:eastAsia="Arial" w:hAnsi="Arial"/>
                <w:sz w:val="18"/>
                <w:szCs w:val="18"/>
                <w:color w:val="auto"/>
              </w:rPr>
              <w:t>Limitation on Indemnification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8940" w:type="dxa"/>
            <w:vAlign w:val="bottom"/>
          </w:tcPr>
          <w:p>
            <w:pPr>
              <w:ind w:left="200"/>
              <w:spacing w:after="0"/>
              <w:rPr>
                <w:sz w:val="20"/>
                <w:szCs w:val="20"/>
                <w:color w:val="auto"/>
              </w:rPr>
            </w:pPr>
            <w:r>
              <w:rPr>
                <w:rFonts w:ascii="Arial" w:cs="Arial" w:eastAsia="Arial" w:hAnsi="Arial"/>
                <w:sz w:val="18"/>
                <w:szCs w:val="18"/>
                <w:color w:val="auto"/>
              </w:rPr>
              <w:t>Indemnification of Employees and Agents</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000" w:type="dxa"/>
            <w:vAlign w:val="bottom"/>
          </w:tcPr>
          <w:p>
            <w:pPr>
              <w:spacing w:after="0"/>
              <w:rPr>
                <w:sz w:val="24"/>
                <w:szCs w:val="24"/>
                <w:color w:val="auto"/>
              </w:rPr>
            </w:pPr>
          </w:p>
        </w:tc>
        <w:tc>
          <w:tcPr>
            <w:tcW w:w="8940" w:type="dxa"/>
            <w:vAlign w:val="bottom"/>
          </w:tcPr>
          <w:p>
            <w:pPr>
              <w:jc w:val="center"/>
              <w:ind w:left="670"/>
              <w:spacing w:after="0"/>
              <w:rPr>
                <w:sz w:val="20"/>
                <w:szCs w:val="20"/>
                <w:color w:val="auto"/>
              </w:rPr>
            </w:pPr>
            <w:r>
              <w:rPr>
                <w:rFonts w:ascii="Arial" w:cs="Arial" w:eastAsia="Arial" w:hAnsi="Arial"/>
                <w:sz w:val="18"/>
                <w:szCs w:val="18"/>
                <w:color w:val="auto"/>
                <w:w w:val="99"/>
              </w:rPr>
              <w:t>ARTICLE IX</w:t>
            </w:r>
          </w:p>
        </w:tc>
        <w:tc>
          <w:tcPr>
            <w:tcW w:w="118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940" w:type="dxa"/>
            <w:vAlign w:val="bottom"/>
          </w:tcPr>
          <w:p>
            <w:pPr>
              <w:jc w:val="center"/>
              <w:ind w:left="670"/>
              <w:spacing w:after="0"/>
              <w:rPr>
                <w:sz w:val="20"/>
                <w:szCs w:val="20"/>
                <w:color w:val="auto"/>
              </w:rPr>
            </w:pPr>
            <w:r>
              <w:rPr>
                <w:rFonts w:ascii="Arial" w:cs="Arial" w:eastAsia="Arial" w:hAnsi="Arial"/>
                <w:sz w:val="18"/>
                <w:szCs w:val="18"/>
                <w:color w:val="auto"/>
                <w:w w:val="95"/>
              </w:rPr>
              <w:t>FORUM FOR ADJUDICATION OF CERTAIN DISPUTES</w:t>
            </w:r>
          </w:p>
        </w:tc>
        <w:tc>
          <w:tcPr>
            <w:tcW w:w="118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8940" w:type="dxa"/>
            <w:vAlign w:val="bottom"/>
          </w:tcPr>
          <w:p>
            <w:pPr>
              <w:ind w:left="200"/>
              <w:spacing w:after="0"/>
              <w:rPr>
                <w:sz w:val="20"/>
                <w:szCs w:val="20"/>
                <w:color w:val="auto"/>
              </w:rPr>
            </w:pPr>
            <w:r>
              <w:rPr>
                <w:rFonts w:ascii="Arial" w:cs="Arial" w:eastAsia="Arial" w:hAnsi="Arial"/>
                <w:sz w:val="18"/>
                <w:szCs w:val="18"/>
                <w:color w:val="auto"/>
              </w:rPr>
              <w:t>Forum for Adjudication of Certain Disputes</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000" w:type="dxa"/>
            <w:vAlign w:val="bottom"/>
          </w:tcPr>
          <w:p>
            <w:pPr>
              <w:spacing w:after="0"/>
              <w:rPr>
                <w:sz w:val="24"/>
                <w:szCs w:val="24"/>
                <w:color w:val="auto"/>
              </w:rPr>
            </w:pPr>
          </w:p>
        </w:tc>
        <w:tc>
          <w:tcPr>
            <w:tcW w:w="8940" w:type="dxa"/>
            <w:vAlign w:val="bottom"/>
          </w:tcPr>
          <w:p>
            <w:pPr>
              <w:jc w:val="center"/>
              <w:ind w:left="650"/>
              <w:spacing w:after="0"/>
              <w:rPr>
                <w:sz w:val="20"/>
                <w:szCs w:val="20"/>
                <w:color w:val="auto"/>
              </w:rPr>
            </w:pPr>
            <w:r>
              <w:rPr>
                <w:rFonts w:ascii="Arial" w:cs="Arial" w:eastAsia="Arial" w:hAnsi="Arial"/>
                <w:sz w:val="18"/>
                <w:szCs w:val="18"/>
                <w:color w:val="auto"/>
                <w:w w:val="98"/>
              </w:rPr>
              <w:t>ARTICLE X</w:t>
            </w:r>
          </w:p>
        </w:tc>
        <w:tc>
          <w:tcPr>
            <w:tcW w:w="118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940" w:type="dxa"/>
            <w:vAlign w:val="bottom"/>
          </w:tcPr>
          <w:p>
            <w:pPr>
              <w:jc w:val="center"/>
              <w:ind w:left="670"/>
              <w:spacing w:after="0"/>
              <w:rPr>
                <w:sz w:val="20"/>
                <w:szCs w:val="20"/>
                <w:color w:val="auto"/>
              </w:rPr>
            </w:pPr>
            <w:r>
              <w:rPr>
                <w:rFonts w:ascii="Arial" w:cs="Arial" w:eastAsia="Arial" w:hAnsi="Arial"/>
                <w:sz w:val="18"/>
                <w:szCs w:val="18"/>
                <w:color w:val="auto"/>
                <w:w w:val="98"/>
              </w:rPr>
              <w:t>AMENDMENTS</w:t>
            </w:r>
          </w:p>
        </w:tc>
        <w:tc>
          <w:tcPr>
            <w:tcW w:w="118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w:t>
            </w:r>
          </w:p>
        </w:tc>
        <w:tc>
          <w:tcPr>
            <w:tcW w:w="894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8940" w:type="dxa"/>
            <w:vAlign w:val="bottom"/>
          </w:tcPr>
          <w:p>
            <w:pPr>
              <w:ind w:left="200"/>
              <w:spacing w:after="0"/>
              <w:rPr>
                <w:sz w:val="20"/>
                <w:szCs w:val="20"/>
                <w:color w:val="auto"/>
              </w:rPr>
            </w:pPr>
            <w:r>
              <w:rPr>
                <w:rFonts w:ascii="Arial" w:cs="Arial" w:eastAsia="Arial" w:hAnsi="Arial"/>
                <w:sz w:val="18"/>
                <w:szCs w:val="18"/>
                <w:color w:val="auto"/>
              </w:rPr>
              <w:t>Entire Board of Directors</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(hereinafter called the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1209 Orange Street in the City of Wilmington, County of New Castle, State of Delaware 19801.</w:t>
      </w:r>
    </w:p>
    <w:p>
      <w:pPr>
        <w:spacing w:after="0" w:line="170"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ind w:right="80" w:firstLine="1296"/>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84"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required by law or by the certificate of incorporation of the Corporation, as amended and restated from time to time (the “Certificate of Incorporation”), Special Meetings of Stockholders, for any purpose or purposes, may be called by either (i) the Chairman of the Board of Directors, if there be one, or (ii) the President, (iii) any Vice President, if there be one, (iv) the Secretary or</w:t>
      </w:r>
    </w:p>
    <w:p>
      <w:pPr>
        <w:jc w:val="both"/>
        <w:ind w:right="2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Assistant Secretary, if there be one, and shall be called by any such officer at the request in writing of (i) the Board of Directors, (ii) a committee of the Board of Directors that has been duly designated by the Board of Directors and whose powers and authority include the power to call such meetings or</w:t>
      </w:r>
    </w:p>
    <w:p>
      <w:pPr>
        <w:spacing w:after="0" w:line="1" w:lineRule="exact"/>
        <w:rPr>
          <w:rFonts w:ascii="Arial" w:cs="Arial" w:eastAsia="Arial" w:hAnsi="Arial"/>
          <w:sz w:val="16"/>
          <w:szCs w:val="16"/>
          <w:color w:val="auto"/>
        </w:rPr>
      </w:pPr>
    </w:p>
    <w:p>
      <w:pPr>
        <w:ind w:firstLine="8"/>
        <w:spacing w:after="0" w:line="25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owning a majority of the capital stock of the Corporation issued and outstanding and entitled to vote on the matter for which such Special Meeting of Stockholders is called. Such request shall state the purpose or purposes of the proposed meeting. At a Special Meeting of Stockholders, only such business shall be conducted as shall be specified in the notice of meeting (or any supplement thereto).</w:t>
      </w:r>
    </w:p>
    <w:p>
      <w:pPr>
        <w:spacing w:after="0" w:line="190"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are required or permitted to take any action at a meeting, a notice of the meeting, in the form of a writing or electronic transmission,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2" w:name="page13"/>
    <w:bookmarkEnd w:id="12"/>
    <w:p>
      <w:pPr>
        <w:ind w:right="40"/>
        <w:spacing w:after="0" w:line="286" w:lineRule="auto"/>
        <w:rPr>
          <w:sz w:val="20"/>
          <w:szCs w:val="20"/>
          <w:color w:val="auto"/>
        </w:rPr>
      </w:pPr>
      <w:r>
        <w:rPr>
          <w:rFonts w:ascii="Arial" w:cs="Arial" w:eastAsia="Arial" w:hAnsi="Arial"/>
          <w:sz w:val="17"/>
          <w:szCs w:val="17"/>
          <w:color w:val="auto"/>
        </w:rPr>
        <w:t>determining stockholders entitled to notice of such meeting and, in the case of a Special Meeting,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spacing w:after="0" w:line="16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Adjournments and Postponements</w:t>
      </w:r>
      <w:r>
        <w:rPr>
          <w:rFonts w:ascii="Arial" w:cs="Arial" w:eastAsia="Arial" w:hAnsi="Arial"/>
          <w:sz w:val="16"/>
          <w:szCs w:val="16"/>
          <w:color w:val="auto"/>
        </w:rPr>
        <w:t>. Any meeting of the stockholders may be adjourned or postponed from time to time by the chairman of such meeting or by the Board of Directors, without the need for approval thereof by stockholders to reconvene or convene, respectively at the same or some other place. Notice need not be given of any such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is taken or,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of this Article II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of this Article II, and shall give notice of the adjourned or postponed meeting to each stockholder of record entitled to vote at such adjourned or postponed meeting as of the record date fixed for notice of such adjourned or postponed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140" w:firstLine="129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the DGCL or other applicable law or the Certificate of Incorporation, the holders of a majority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of this Article II, until a quorum shall be present or represented.</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 Unless otherwise required by law, the Certificate of Incorporation or these Bylaws, or permitted by the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chairman of a meeting of the stockholders, in his or her discretion, may require that any votes cast at such meeting shall be cast by written ballot.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340" w:firstLine="1296"/>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(3)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88" w:lineRule="exact"/>
        <w:rPr>
          <w:sz w:val="20"/>
          <w:szCs w:val="20"/>
          <w:color w:val="auto"/>
        </w:rPr>
      </w:pPr>
    </w:p>
    <w:p>
      <w:pPr>
        <w:ind w:left="660" w:right="320" w:firstLine="2264"/>
        <w:spacing w:after="0" w:line="263" w:lineRule="auto"/>
        <w:tabs>
          <w:tab w:leader="none" w:pos="31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stockholder may execute a document authorizing another person or persons to act for such stockholder as proxy. Execution may be accomplished in the manner permitted by the DGCL by the stockholder or such stockholder’s authorized officer, director, employee or agent.</w:t>
      </w:r>
    </w:p>
    <w:p>
      <w:pPr>
        <w:spacing w:after="0" w:line="183" w:lineRule="exact"/>
        <w:rPr>
          <w:rFonts w:ascii="Arial" w:cs="Arial" w:eastAsia="Arial" w:hAnsi="Arial"/>
          <w:sz w:val="18"/>
          <w:szCs w:val="18"/>
          <w:color w:val="auto"/>
        </w:rPr>
      </w:pPr>
    </w:p>
    <w:p>
      <w:pPr>
        <w:ind w:left="660" w:firstLine="2264"/>
        <w:spacing w:after="0" w:line="273" w:lineRule="auto"/>
        <w:tabs>
          <w:tab w:leader="none" w:pos="3283" w:val="left"/>
        </w:tabs>
        <w:numPr>
          <w:ilvl w:val="0"/>
          <w:numId w:val="7"/>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140"/>
        <w:spacing w:after="0" w:line="259" w:lineRule="auto"/>
        <w:rPr>
          <w:sz w:val="20"/>
          <w:szCs w:val="20"/>
          <w:color w:val="auto"/>
        </w:rPr>
      </w:pPr>
      <w:r>
        <w:rPr>
          <w:rFonts w:ascii="Arial" w:cs="Arial" w:eastAsia="Arial" w:hAnsi="Arial"/>
          <w:sz w:val="18"/>
          <w:szCs w:val="18"/>
          <w:color w:val="auto"/>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Consent of Stockholders in Lieu of Meeting</w:t>
      </w:r>
      <w:r>
        <w:rPr>
          <w:rFonts w:ascii="Arial" w:cs="Arial" w:eastAsia="Arial" w:hAnsi="Arial"/>
          <w:sz w:val="17"/>
          <w:szCs w:val="17"/>
          <w:color w:val="auto"/>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executed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No written consent shall be effective to take the corporate action referred to therein unless written consents signed by a sufficient number of holders to take action are delivered to the Corporation in the manner required by this Section 9 within sixty (60) days of the first date on which a written consent is so delivered to the Corporation. Any person executing a consent may provide, whether through instruction to an agent or otherwise, that such a consent will be effective at a future time (including a time determined upon the happening of an event), no later than sixty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left="-8" w:firstLine="8"/>
        <w:spacing w:after="0" w:line="268" w:lineRule="auto"/>
        <w:tabs>
          <w:tab w:leader="none" w:pos="337" w:val="left"/>
        </w:tabs>
        <w:numPr>
          <w:ilvl w:val="0"/>
          <w:numId w:val="8"/>
        </w:numPr>
        <w:rPr>
          <w:rFonts w:ascii="Arial" w:cs="Arial" w:eastAsia="Arial" w:hAnsi="Arial"/>
          <w:sz w:val="17"/>
          <w:szCs w:val="17"/>
          <w:color w:val="auto"/>
        </w:rPr>
      </w:pPr>
      <w:r>
        <w:rPr>
          <w:rFonts w:ascii="Arial" w:cs="Arial" w:eastAsia="Arial" w:hAnsi="Arial"/>
          <w:sz w:val="17"/>
          <w:szCs w:val="17"/>
          <w:color w:val="auto"/>
        </w:rPr>
        <w:t>days after such instruction is given or such provision is made, if evidence of such instruction or provision is provided to the Corporation. Unless otherwise provided, any such consent shall be revocable prior to its becoming effective. An electronic transmission consenting to an action to be taken and transmitted by a stockholder or proxy holder, or by a person or persons authorized to act for a stockholder or proxy holder, shall be deemed to be written and signed for the purposes of this Section 9,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 A consent given by electronic transmission shall be deemed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the stockholders are recorded; (iii) when a paper reproduction of the consent is delivered to the Corporation’s registered office by hand or by certified or registered mail, return receipt requested; or (iv) when delivered in such other manner, if any,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as provided above in this Section 9.</w:t>
      </w:r>
    </w:p>
    <w:p>
      <w:pPr>
        <w:spacing w:after="0" w:line="187"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4"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Record Date</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7" w:lineRule="auto"/>
        <w:tabs>
          <w:tab w:leader="none" w:pos="185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stockholders entitled to vote at the adjourned meeting in accordance with the foregoing provisions of this Section 11.</w:t>
      </w:r>
    </w:p>
    <w:p>
      <w:pPr>
        <w:spacing w:after="0" w:line="225" w:lineRule="exact"/>
        <w:rPr>
          <w:sz w:val="20"/>
          <w:szCs w:val="20"/>
          <w:color w:val="auto"/>
        </w:rPr>
      </w:pPr>
    </w:p>
    <w:p>
      <w:pPr>
        <w:ind w:firstLine="1304"/>
        <w:spacing w:after="0" w:line="269" w:lineRule="auto"/>
        <w:tabs>
          <w:tab w:leader="none" w:pos="18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2"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Stock Ledger</w:t>
      </w:r>
      <w:r>
        <w:rPr>
          <w:rFonts w:ascii="Arial" w:cs="Arial" w:eastAsia="Arial" w:hAnsi="Arial"/>
          <w:sz w:val="17"/>
          <w:szCs w:val="17"/>
          <w:color w:val="auto"/>
        </w:rPr>
        <w:t>. The stock ledger of the Corporation shall be the only evidence as to who are the stockholders entitled to examine the list of stockholders required by Section 10 of this Article II or the books and records of the Corporation, or to vote in person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jc w:val="both"/>
        <w:spacing w:after="0" w:line="311" w:lineRule="auto"/>
        <w:rPr>
          <w:sz w:val="20"/>
          <w:szCs w:val="20"/>
          <w:color w:val="auto"/>
        </w:rPr>
      </w:pPr>
      <w:r>
        <w:rPr>
          <w:rFonts w:ascii="Arial" w:cs="Arial" w:eastAsia="Arial" w:hAnsi="Arial"/>
          <w:sz w:val="16"/>
          <w:szCs w:val="16"/>
          <w:color w:val="auto"/>
        </w:rPr>
        <w:t>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149" w:lineRule="exact"/>
        <w:rPr>
          <w:sz w:val="20"/>
          <w:szCs w:val="20"/>
          <w:color w:val="auto"/>
        </w:rPr>
      </w:pPr>
    </w:p>
    <w:p>
      <w:pPr>
        <w:ind w:right="120" w:firstLine="1296"/>
        <w:spacing w:after="0" w:line="26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of the Corporation may adopt by resolution such rules and regulations for the conduct of any meeting of the stockholders as it shall deem appropriate. Meetings of stockholders shall be presided over by the Chairman of the Board of Directors, if there shall be one, or in his or her absence, or there shall not be a Chairman of the Board of Directors or in his or her absence, the President. The Board of Directors shall have the authority to appoint a temporary chairman to serve at any meeting of the stockholders if the Chairman of the Board of Directors or the President is unable to do so for any reason. Except to the extent inconsistent with any rules and regulations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restrictions on entry to the meeting after the time fixed for the commencement thereof; and (vi) limitations on the time allotted to questions or comments by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The Board of Directors shall consist of not less than one (1) nor more than fifteen</w:t>
      </w:r>
    </w:p>
    <w:p>
      <w:pPr>
        <w:spacing w:after="0" w:line="23" w:lineRule="exact"/>
        <w:rPr>
          <w:sz w:val="20"/>
          <w:szCs w:val="20"/>
          <w:color w:val="auto"/>
        </w:rPr>
      </w:pPr>
    </w:p>
    <w:p>
      <w:pPr>
        <w:ind w:right="100" w:firstLine="8"/>
        <w:spacing w:after="0" w:line="273" w:lineRule="auto"/>
        <w:tabs>
          <w:tab w:leader="none" w:pos="3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members, each of whom shall be a natural person, the exact number of which shall initially be fixed by the Incorporator and thereafter from time to time by the Board of Directors. Except as provided in Section 2 of this Article III,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Directors need not be stockholders.</w:t>
      </w:r>
    </w:p>
    <w:p>
      <w:pPr>
        <w:spacing w:after="0" w:line="176" w:lineRule="exact"/>
        <w:rPr>
          <w:sz w:val="20"/>
          <w:szCs w:val="20"/>
          <w:color w:val="auto"/>
        </w:rPr>
      </w:pPr>
    </w:p>
    <w:p>
      <w:pPr>
        <w:ind w:right="100" w:firstLine="1296"/>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Vacancies</w:t>
      </w:r>
      <w:r>
        <w:rPr>
          <w:rFonts w:ascii="Arial" w:cs="Arial" w:eastAsia="Arial" w:hAnsi="Arial"/>
          <w:sz w:val="17"/>
          <w:szCs w:val="17"/>
          <w:color w:val="auto"/>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only by a majority of the directors then in office, though less than a quorum, or by a sole remaining director. The directors so chosen shall, in the case of the Board of Directors, hold office until the next annual election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right="420" w:firstLine="1296"/>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except as may be otherwise provided in the DGCL, the Certificate of Incorporation or these Bylaws.</w:t>
      </w:r>
    </w:p>
    <w:p>
      <w:pPr>
        <w:spacing w:after="0" w:line="184"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Meetings</w:t>
      </w:r>
      <w:r>
        <w:rPr>
          <w:rFonts w:ascii="Arial" w:cs="Arial" w:eastAsia="Arial" w:hAnsi="Arial"/>
          <w:sz w:val="16"/>
          <w:szCs w:val="16"/>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Chairman of the Board of Directors, if there be one, the President, or by any director. Special meetings of any committee of the Board of Directors may be called by the chairman of such committee, if there be one, the President, or any director serving on such committee. Notice of any special meeting stating the place, date and hour of the meeting shall be given to each director (or, in the case of a committee, to each member of such committee) not less than twenty-four (24) hours before the date of the meeting, by telephone, or in the form of a writing or electronic transmission, or on such shorter notice as the person or persons calling such meeting may deem necessary or appropriate in the circumstances.</w:t>
      </w:r>
    </w:p>
    <w:p>
      <w:pPr>
        <w:spacing w:after="0" w:line="165"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or any committee thereof, the Chairman of the Board of Directors or the chairman of such committee, as the case may be, or, in his or her absence or if there be none, a director chosen by a majority of the directors present, shall act as chairman of such meeting. Except as provided below, the Secretary of the Corporation shall act as secretary at each meeting of the Board of Directors and of each committee thereof. In case the Secretary shall be absent from any meeting of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200"/>
        <w:spacing w:after="0" w:line="301" w:lineRule="auto"/>
        <w:rPr>
          <w:sz w:val="20"/>
          <w:szCs w:val="20"/>
          <w:color w:val="auto"/>
        </w:rPr>
      </w:pPr>
      <w:r>
        <w:rPr>
          <w:rFonts w:ascii="Arial" w:cs="Arial" w:eastAsia="Arial" w:hAnsi="Arial"/>
          <w:sz w:val="16"/>
          <w:szCs w:val="16"/>
          <w:color w:val="auto"/>
        </w:rPr>
        <w:t>of Directors or of any committee thereof, an Assistant Secretary shall perform the duties of secretary at such meeting; and in the absence from any such meeting of the Secretary and all the Assistant Secretaries, the chairman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5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Resignations and Removals of Directors</w:t>
      </w:r>
      <w:r>
        <w:rPr>
          <w:rFonts w:ascii="Arial" w:cs="Arial" w:eastAsia="Arial" w:hAnsi="Arial"/>
          <w:sz w:val="17"/>
          <w:szCs w:val="17"/>
          <w:color w:val="auto"/>
        </w:rPr>
        <w:t>. Any director of the Corporation may resign from the Board of Directors or any committee thereof at any time, by giving notice in writing or by electronic transmission to the Chairman of the Board of Directors, if there be one, the President or the Secretary of the Corporation and, in the case of a committee, to the chairman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with or without cause, by the affirmative vote of the holders of at least a majority in voting power of the issued and outstanding capital stock of the Corporation entitled to vote in the election of directors. Any director serving on a committee</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of the Board of Directors may be removed from such committee at any time by the Board of Directors.</w:t>
      </w:r>
    </w:p>
    <w:p>
      <w:pPr>
        <w:spacing w:after="0" w:line="225"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17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Actions of the Board by Written Consent</w:t>
      </w:r>
      <w:r>
        <w:rPr>
          <w:rFonts w:ascii="Arial" w:cs="Arial" w:eastAsia="Arial" w:hAnsi="Arial"/>
          <w:sz w:val="18"/>
          <w:szCs w:val="18"/>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70" w:lineRule="exact"/>
        <w:rPr>
          <w:sz w:val="20"/>
          <w:szCs w:val="20"/>
          <w:color w:val="auto"/>
        </w:rPr>
      </w:pPr>
    </w:p>
    <w:p>
      <w:pPr>
        <w:ind w:right="180" w:firstLine="1296"/>
        <w:spacing w:after="0" w:line="27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spacing w:after="0" w:line="17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(1) or more committees, each committee to consist of one</w:t>
      </w:r>
    </w:p>
    <w:p>
      <w:pPr>
        <w:spacing w:after="0" w:line="23" w:lineRule="exact"/>
        <w:rPr>
          <w:sz w:val="20"/>
          <w:szCs w:val="20"/>
          <w:color w:val="auto"/>
        </w:rPr>
      </w:pPr>
    </w:p>
    <w:p>
      <w:pPr>
        <w:ind w:right="20" w:firstLine="8"/>
        <w:spacing w:after="0" w:line="288"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(1)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line="269" w:lineRule="auto"/>
        <w:rPr>
          <w:sz w:val="20"/>
          <w:szCs w:val="20"/>
          <w:color w:val="auto"/>
        </w:rPr>
      </w:pPr>
      <w:r>
        <w:rPr>
          <w:rFonts w:ascii="Arial" w:cs="Arial" w:eastAsia="Arial" w:hAnsi="Arial"/>
          <w:sz w:val="17"/>
          <w:szCs w:val="17"/>
          <w:color w:val="auto"/>
        </w:rPr>
        <w:t>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Article III,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85" w:lineRule="exact"/>
        <w:rPr>
          <w:sz w:val="20"/>
          <w:szCs w:val="20"/>
          <w:color w:val="auto"/>
        </w:rPr>
      </w:pPr>
    </w:p>
    <w:p>
      <w:pPr>
        <w:jc w:val="both"/>
        <w:ind w:right="40" w:firstLine="1296"/>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Subcommittees</w:t>
      </w:r>
      <w:r>
        <w:rPr>
          <w:rFonts w:ascii="Arial" w:cs="Arial" w:eastAsia="Arial" w:hAnsi="Arial"/>
          <w:sz w:val="17"/>
          <w:szCs w:val="17"/>
          <w:color w:val="auto"/>
        </w:rPr>
        <w:t>. Unless otherwise provided in the Certificate of Incorporation, these Bylaws, or the resolution of the Board of Directors designating a committee, such committee may create one (1) or more subcommittees, each subcommittee to consist of one (1) or more members of the committee, and delegate to a subcommittee any or all of the powers and authority of the committee. Except for references to committees and members of committees in Section 10 of this Article III, every reference in these Bylaws to a committee of the Board of</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Directors or a member of a committee shall be deemed to include a reference to a subcommittee or member of a subcommittee.</w:t>
      </w:r>
    </w:p>
    <w:p>
      <w:pPr>
        <w:spacing w:after="0" w:line="22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Interested Directors</w:t>
      </w:r>
      <w:r>
        <w:rPr>
          <w:rFonts w:ascii="Arial" w:cs="Arial" w:eastAsia="Arial" w:hAnsi="Arial"/>
          <w:sz w:val="17"/>
          <w:szCs w:val="17"/>
          <w:color w:val="auto"/>
        </w:rPr>
        <w:t>. No contract or transaction between the Corporation and one (1) or more of its directors or officers, or between the Corporation and any other corporation, partnership, association or other organization in which one (1)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140"/>
        <w:spacing w:after="0" w:line="342" w:lineRule="auto"/>
        <w:rPr>
          <w:sz w:val="20"/>
          <w:szCs w:val="20"/>
          <w:color w:val="auto"/>
        </w:rPr>
      </w:pPr>
      <w:r>
        <w:rPr>
          <w:rFonts w:ascii="Arial" w:cs="Arial" w:eastAsia="Arial" w:hAnsi="Arial"/>
          <w:sz w:val="16"/>
          <w:szCs w:val="16"/>
          <w:color w:val="auto"/>
        </w:rPr>
        <w:t>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40" w:firstLine="1296"/>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chosen by the Board of Directors and shall be a President, a Secretary and a Treasurer. The Board of Directors, in its discretion, also may choose a Chairman of the Board of Directors (who must be a director) and one (1)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61"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w:t>
      </w:r>
      <w:r>
        <w:rPr>
          <w:rFonts w:ascii="Arial" w:cs="Arial" w:eastAsia="Arial" w:hAnsi="Arial"/>
          <w:sz w:val="16"/>
          <w:szCs w:val="16"/>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shall be filled by the Board of Directors. The salaries of all officers of the Corporation shall be fixed by the Board of Directors.</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77"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Chairman of the Board of Directors</w:t>
      </w:r>
      <w:r>
        <w:rPr>
          <w:rFonts w:ascii="Arial" w:cs="Arial" w:eastAsia="Arial" w:hAnsi="Arial"/>
          <w:sz w:val="17"/>
          <w:szCs w:val="17"/>
          <w:color w:val="auto"/>
        </w:rPr>
        <w:t>. The Chairman of the Board of Directors, if there be one, shall preside at all meetings of the stockholders and of the Board of Directors. The Chairman of the Board of Directors shall be the Chief Executive Officer of the Corporation, unless the Board of Directors designates the President as the Chief Executive Officer, and,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 w:name="page31"/>
    <w:bookmarkEnd w:id="30"/>
    <w:p>
      <w:pPr>
        <w:ind w:right="440"/>
        <w:spacing w:after="0" w:line="277" w:lineRule="auto"/>
        <w:rPr>
          <w:sz w:val="20"/>
          <w:szCs w:val="20"/>
          <w:color w:val="auto"/>
        </w:rPr>
      </w:pPr>
      <w:r>
        <w:rPr>
          <w:rFonts w:ascii="Arial" w:cs="Arial" w:eastAsia="Arial" w:hAnsi="Arial"/>
          <w:sz w:val="18"/>
          <w:szCs w:val="18"/>
          <w:color w:val="auto"/>
        </w:rPr>
        <w:t>of Directors shall also perform such other duties and may exercise such other powers as may from time to time be assigned by these Bylaws or by the Board of Directors.</w:t>
      </w:r>
    </w:p>
    <w:p>
      <w:pPr>
        <w:spacing w:after="0" w:line="170"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oversight and control of the Board of Directors and, if there be one, the Chairman of the Board of Directors, have general supervision of the business of the Corporation and shall see that all orders and resolutions of the Board of Directors are carried into effect.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if the President is also a director, the Board of Directors. If there be no Chairman of the Board of Directors, or if the Board of Directors shall otherwise designate, the President shall be the Chief Executive Officer of the Corporation. The President shall also perform such other duties and may exercise such other powers as may from time to time be assigned to such officer by these Bylaws or by the Board of Directors.</w:t>
      </w:r>
    </w:p>
    <w:p>
      <w:pPr>
        <w:spacing w:after="0" w:line="181"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Vice Presidents</w:t>
      </w:r>
      <w:r>
        <w:rPr>
          <w:rFonts w:ascii="Arial" w:cs="Arial" w:eastAsia="Arial" w:hAnsi="Arial"/>
          <w:sz w:val="18"/>
          <w:szCs w:val="18"/>
          <w:color w:val="auto"/>
        </w:rPr>
        <w:t>. At the request of the President or in the President’s absence or in the event of the President’s inability or refusal to act (and if there be no Chairman of the Board of Directors), the Vice President, or the Vice Presidents if there are more than one (1)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18"/>
          <w:szCs w:val="18"/>
          <w:color w:val="auto"/>
        </w:rPr>
        <w:t>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84"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firstLine="1296"/>
        <w:spacing w:after="0" w:line="289"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66"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187"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Assistant Treasurers, if there be any, shall perform such duties and have such powers as from time to time may be assigned to them by the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3" w:name="page34"/>
    <w:bookmarkEnd w:id="33"/>
    <w:p>
      <w:pPr>
        <w:spacing w:after="0" w:line="293" w:lineRule="auto"/>
        <w:rPr>
          <w:sz w:val="20"/>
          <w:szCs w:val="20"/>
          <w:color w:val="auto"/>
        </w:rPr>
      </w:pPr>
      <w:r>
        <w:rPr>
          <w:rFonts w:ascii="Arial" w:cs="Arial" w:eastAsia="Arial" w:hAnsi="Arial"/>
          <w:sz w:val="16"/>
          <w:szCs w:val="16"/>
          <w:color w:val="auto"/>
        </w:rPr>
        <w:t>Board of Directors, the 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spacing w:after="0" w:line="164" w:lineRule="exact"/>
        <w:rPr>
          <w:sz w:val="20"/>
          <w:szCs w:val="20"/>
          <w:color w:val="auto"/>
        </w:rPr>
      </w:pPr>
    </w:p>
    <w:p>
      <w:pPr>
        <w:ind w:right="380" w:firstLine="1296"/>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Shares of Stock</w:t>
      </w:r>
      <w:r>
        <w:rPr>
          <w:rFonts w:ascii="Arial" w:cs="Arial" w:eastAsia="Arial" w:hAnsi="Arial"/>
          <w:sz w:val="18"/>
          <w:szCs w:val="18"/>
          <w:color w:val="auto"/>
        </w:rPr>
        <w:t>. Except as otherwise provided in a resolution approved by the Board of Directors, all shares of capital stock of the Corporation shall be uncertificated shares.</w:t>
      </w:r>
    </w:p>
    <w:p>
      <w:pPr>
        <w:spacing w:after="0" w:line="170" w:lineRule="exact"/>
        <w:rPr>
          <w:sz w:val="20"/>
          <w:szCs w:val="20"/>
          <w:color w:val="auto"/>
        </w:rPr>
      </w:pPr>
    </w:p>
    <w:p>
      <w:pPr>
        <w:ind w:right="480" w:firstLine="1296"/>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Signatures</w:t>
      </w:r>
      <w:r>
        <w:rPr>
          <w:rFonts w:ascii="Arial" w:cs="Arial" w:eastAsia="Arial" w:hAnsi="Arial"/>
          <w:sz w:val="16"/>
          <w:szCs w:val="16"/>
          <w:color w:val="auto"/>
        </w:rPr>
        <w:t>. Any or all of the signatures on a certificate may be a facsimile. In case any officer, transfer agent or registrar who has signed or whose facsimile signature has been placed upon a certificate shall have ceased to be such officer, transfer agent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300"/>
        <w:spacing w:after="0" w:line="277" w:lineRule="auto"/>
        <w:rPr>
          <w:sz w:val="20"/>
          <w:szCs w:val="20"/>
          <w:color w:val="auto"/>
        </w:rPr>
      </w:pPr>
      <w:r>
        <w:rPr>
          <w:rFonts w:ascii="Arial" w:cs="Arial" w:eastAsia="Arial" w:hAnsi="Arial"/>
          <w:sz w:val="18"/>
          <w:szCs w:val="18"/>
          <w:color w:val="auto"/>
        </w:rPr>
        <w:t>registrar before such certificate is issued, it may be issued by the Corporation with the same effect as if such person were such officer, transfer agent or registrar at the date of issue.</w:t>
      </w:r>
    </w:p>
    <w:p>
      <w:pPr>
        <w:spacing w:after="0" w:line="170"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7"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2"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300" w:firstLine="129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(1) or more transfer offices or agencies and registry offices or agencies at such place or places as may be determined from time to time by the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Notices</w:t>
      </w:r>
      <w:r>
        <w:rPr>
          <w:rFonts w:ascii="Arial" w:cs="Arial" w:eastAsia="Arial" w:hAnsi="Arial"/>
          <w:sz w:val="16"/>
          <w:szCs w:val="16"/>
          <w:color w:val="auto"/>
        </w:rPr>
        <w:t>.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color w:val="auto"/>
        </w:rPr>
        <w:t>Corporation.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(x) the Corporation is unable to deliver by such electronic transmission two consecutive notices given by the Corporation and (y)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66"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waiver by electronic transmission unless so required by law, the Certificate of Incorporation or these 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92"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right="760" w:firstLine="129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have inscribed thereon the name of the Corporation, the year of its organization and the words “Corporate Seal,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Delaware”. The seal may be used by causing it or a facsimile thereof to be impressed or affixed or reproduced or otherwise.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Power to Indemnify in Actions, Suits or Proceedings other than Those by or in the Right of the Corporation</w:t>
      </w:r>
      <w:r>
        <w:rPr>
          <w:rFonts w:ascii="Arial" w:cs="Arial" w:eastAsia="Arial" w:hAnsi="Arial"/>
          <w:sz w:val="17"/>
          <w:szCs w:val="17"/>
          <w:color w:val="auto"/>
        </w:rPr>
        <w:t>.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firstLine="1296"/>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Power to Indemnify in Actions, Suits or Proceedings by or in the Right of the Corporation</w:t>
      </w:r>
      <w:r>
        <w:rPr>
          <w:rFonts w:ascii="Arial" w:cs="Arial" w:eastAsia="Arial" w:hAnsi="Arial"/>
          <w:sz w:val="17"/>
          <w:szCs w:val="17"/>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2" w:lineRule="exact"/>
        <w:rPr>
          <w:sz w:val="20"/>
          <w:szCs w:val="20"/>
          <w:color w:val="auto"/>
        </w:rPr>
      </w:pPr>
    </w:p>
    <w:p>
      <w:pPr>
        <w:jc w:val="both"/>
        <w:ind w:right="240" w:firstLine="1296"/>
        <w:spacing w:after="0" w:line="27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Authorization of Indemnification</w:t>
      </w:r>
      <w:r>
        <w:rPr>
          <w:rFonts w:ascii="Arial" w:cs="Arial" w:eastAsia="Arial" w:hAnsi="Arial"/>
          <w:sz w:val="17"/>
          <w:szCs w:val="17"/>
          <w:color w:val="auto"/>
        </w:rPr>
        <w:t>. Any indemnification under this Article VIII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1 or Section 2 of this Article VIII, as the case may be. Such determination shall be made, with respect to a person who is a director or officer of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40"/>
        <w:spacing w:after="0" w:line="291" w:lineRule="auto"/>
        <w:rPr>
          <w:sz w:val="20"/>
          <w:szCs w:val="20"/>
          <w:color w:val="auto"/>
        </w:rPr>
      </w:pPr>
      <w:r>
        <w:rPr>
          <w:rFonts w:ascii="Arial" w:cs="Arial" w:eastAsia="Arial" w:hAnsi="Arial"/>
          <w:sz w:val="16"/>
          <w:szCs w:val="16"/>
          <w:color w:val="auto"/>
        </w:rPr>
        <w:t>Corporation at the time of such determination, (i) by a majority vote of the directors who are not parties to such action, suit or proceeding, even though less than a quorum, (ii) by a committee of such directors designated by a majority vote of such directors, even though less than a quorum,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66"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Good Faith Defined</w:t>
      </w:r>
      <w:r>
        <w:rPr>
          <w:rFonts w:ascii="Arial" w:cs="Arial" w:eastAsia="Arial" w:hAnsi="Arial"/>
          <w:sz w:val="17"/>
          <w:szCs w:val="17"/>
          <w:color w:val="auto"/>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deemed to have met the applicable standard of conduct set forth in Section 1 or Section 2 of this Article VIII, as the case may be.</w:t>
      </w:r>
    </w:p>
    <w:p>
      <w:pPr>
        <w:spacing w:after="0" w:line="225"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 Notwithstanding any contrary determination in the specific case under Section 3 of this Article VIII,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VIII. The basis of such indemnification by a court shall be a determination by such court that indemnification of the director or officer is proper in the circumstances because such person has met the applicable standard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spacing w:after="0" w:line="194"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3" w:name="page44"/>
    <w:bookmarkEnd w:id="43"/>
    <w:p>
      <w:pPr>
        <w:ind w:right="120"/>
        <w:spacing w:after="0" w:line="286" w:lineRule="auto"/>
        <w:rPr>
          <w:sz w:val="20"/>
          <w:szCs w:val="20"/>
          <w:color w:val="auto"/>
        </w:rPr>
      </w:pPr>
      <w:r>
        <w:rPr>
          <w:rFonts w:ascii="Arial" w:cs="Arial" w:eastAsia="Arial" w:hAnsi="Arial"/>
          <w:sz w:val="17"/>
          <w:szCs w:val="17"/>
          <w:color w:val="auto"/>
        </w:rPr>
        <w:t>this Article VIII.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6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Nonexclusivity of Indemnification and Advancement of Expenses</w:t>
      </w:r>
      <w:r>
        <w:rPr>
          <w:rFonts w:ascii="Arial" w:cs="Arial" w:eastAsia="Arial" w:hAnsi="Arial"/>
          <w:sz w:val="16"/>
          <w:szCs w:val="16"/>
          <w:color w:val="auto"/>
        </w:rPr>
        <w:t>. The indemnification and advancement of expenses provided by, or granted pursuant to, this Article VIII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VIII shall be made to the fullest extent permitted by law. A right to indemnification or to advancement of expenses arising under a provision of the Certificate of Incorporation or these Bylaws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The provisions of this Article VIII shall not be deemed to preclude the indemnification of any person who is not specified in Section 1 or Section 2 of this Article VIII but whom the Corporation has the power or obligation to indemnify, under the provisions of the DGCL, or otherwise.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ind w:right="40" w:firstLine="1296"/>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VIII.</w:t>
      </w:r>
    </w:p>
    <w:p>
      <w:pPr>
        <w:spacing w:after="0" w:line="188"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The term “another enterprise” as used in this Article VIII shall mean any other corporation or any partnership, joint venture, trust, employee benefit plan or other enterprise of which such person is or was serving at the request of the Corporation as a director, officer, employee or agent. For purposes of this Article VIII, references to “fines” shall include any excise taxes assessed on a person with respect to an employee benefit plan; and references 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5" w:name="page46"/>
    <w:bookmarkEnd w:id="45"/>
    <w:p>
      <w:pPr>
        <w:spacing w:after="0" w:line="279" w:lineRule="auto"/>
        <w:rPr>
          <w:sz w:val="20"/>
          <w:szCs w:val="20"/>
          <w:color w:val="auto"/>
        </w:rPr>
      </w:pPr>
      <w:r>
        <w:rPr>
          <w:rFonts w:ascii="Arial" w:cs="Arial" w:eastAsia="Arial" w:hAnsi="Arial"/>
          <w:sz w:val="17"/>
          <w:szCs w:val="17"/>
          <w:color w:val="auto"/>
        </w:rPr>
        <w:t>“serving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7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right="200" w:firstLine="1296"/>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anything contained in this Article VIII to the contrary, except for proceedings to enforce rights to indemnification (which shall be governed by Section 5 of this Article VIII),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8"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FORUM FOR ADJUDICATION OF CERTAIN DISPUTES</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Forum for Adjudication of Certain Disputes</w:t>
      </w:r>
      <w:r>
        <w:rPr>
          <w:rFonts w:ascii="Arial" w:cs="Arial" w:eastAsia="Arial" w:hAnsi="Arial"/>
          <w:sz w:val="17"/>
          <w:szCs w:val="17"/>
          <w:color w:val="auto"/>
        </w:rPr>
        <w:t>. Unless the Corporation consents in writing to the selection of an alternative forum (an “Alternative Forum Consent”), the Court of Chancery of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General Corporation Law of Delaware or the Corporation’s Certificate of Incorporation or Bylaws, or (iv) any action asserting a claim against the Corporation or any director, officer, stockholder, employee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340"/>
        <w:spacing w:after="0" w:line="308" w:lineRule="auto"/>
        <w:rPr>
          <w:sz w:val="20"/>
          <w:szCs w:val="20"/>
          <w:color w:val="auto"/>
        </w:rPr>
      </w:pPr>
      <w:r>
        <w:rPr>
          <w:rFonts w:ascii="Arial" w:cs="Arial" w:eastAsia="Arial" w:hAnsi="Arial"/>
          <w:sz w:val="17"/>
          <w:szCs w:val="17"/>
          <w:color w:val="auto"/>
        </w:rPr>
        <w:t>provisions of this Section 1 of Article IX. The existence of any prior Alternative Forum Consent shall not act as a waiver of the Corporation’s ongoing consent right as set forth above in this Section 1 of Article IX with respect to any current or future actions or claims.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spacing w:after="0" w:line="195"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Entire Board of Directors</w:t>
      </w:r>
      <w:r>
        <w:rPr>
          <w:rFonts w:ascii="Arial" w:cs="Arial" w:eastAsia="Arial" w:hAnsi="Arial"/>
          <w:sz w:val="18"/>
          <w:szCs w:val="18"/>
          <w:color w:val="auto"/>
        </w:rPr>
        <w:t>. As used in this Article X and in these Bylaws generally, the term “entire Board of Directors” means the total number of directors which the Corporation would have if there were no vacancies.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as of: April 7,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lowerRoman"/>
      <w:start w:val="5"/>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6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decimal"/>
      <w:start w:val="15"/>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14" Type="http://schemas.openxmlformats.org/officeDocument/2006/relationships/hyperlink" Target="http://www.sec.gov/Archives/edgar/data/1667633/000119312520057799/d89096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2020-04-07T07:42:17Z</dcterms:created>
  <dcterms:modified xsi:type="dcterms:W3CDTF">2020-04-07T07:42:17Z</dcterms:modified>
</cp:coreProperties>
</file>