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7" w:lineRule="exact"/>
        <w:rPr>
          <w:sz w:val="24"/>
          <w:szCs w:val="24"/>
          <w:color w:val="auto"/>
        </w:rPr>
      </w:pPr>
    </w:p>
    <w:p>
      <w:pPr>
        <w:jc w:val="center"/>
        <w:ind w:right="-39"/>
        <w:spacing w:after="0"/>
        <w:rPr>
          <w:sz w:val="20"/>
          <w:szCs w:val="20"/>
          <w:color w:val="auto"/>
        </w:rPr>
      </w:pPr>
      <w:r>
        <w:rPr>
          <w:rFonts w:ascii="Arial" w:cs="Arial" w:eastAsia="Arial" w:hAnsi="Arial"/>
          <w:sz w:val="16"/>
          <w:szCs w:val="16"/>
          <w:b w:val="1"/>
          <w:bCs w:val="1"/>
          <w:color w:val="auto"/>
        </w:rPr>
        <w:t>As filed with the Securities and Exchange Commission on April 7, 2020</w:t>
      </w:r>
    </w:p>
    <w:p>
      <w:pPr>
        <w:spacing w:after="0" w:line="221" w:lineRule="exact"/>
        <w:rPr>
          <w:sz w:val="24"/>
          <w:szCs w:val="24"/>
          <w:color w:val="auto"/>
        </w:rPr>
      </w:pPr>
    </w:p>
    <w:p>
      <w:pPr>
        <w:jc w:val="right"/>
        <w:spacing w:after="0"/>
        <w:rPr>
          <w:sz w:val="20"/>
          <w:szCs w:val="20"/>
          <w:color w:val="auto"/>
        </w:rPr>
      </w:pPr>
      <w:r>
        <w:rPr>
          <w:rFonts w:ascii="Arial" w:cs="Arial" w:eastAsia="Arial" w:hAnsi="Arial"/>
          <w:sz w:val="16"/>
          <w:szCs w:val="16"/>
          <w:b w:val="1"/>
          <w:bCs w:val="1"/>
          <w:color w:val="auto"/>
        </w:rPr>
        <w:t>Registration No. 333-235877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00" w:lineRule="exact"/>
        <w:rPr>
          <w:sz w:val="24"/>
          <w:szCs w:val="24"/>
          <w:color w:val="auto"/>
        </w:rPr>
      </w:pPr>
    </w:p>
    <w:p>
      <w:pPr>
        <w:jc w:val="center"/>
        <w:ind w:right="-39"/>
        <w:spacing w:after="0"/>
        <w:rPr>
          <w:sz w:val="20"/>
          <w:szCs w:val="20"/>
          <w:color w:val="auto"/>
        </w:rPr>
      </w:pPr>
      <w:r>
        <w:rPr>
          <w:rFonts w:ascii="Arial" w:cs="Arial" w:eastAsia="Arial" w:hAnsi="Arial"/>
          <w:sz w:val="31"/>
          <w:szCs w:val="31"/>
          <w:b w:val="1"/>
          <w:bCs w:val="1"/>
          <w:color w:val="auto"/>
        </w:rPr>
        <w:t>UNITED STATES</w:t>
      </w:r>
    </w:p>
    <w:p>
      <w:pPr>
        <w:spacing w:after="0" w:line="29" w:lineRule="exact"/>
        <w:rPr>
          <w:sz w:val="24"/>
          <w:szCs w:val="24"/>
          <w:color w:val="auto"/>
        </w:rPr>
      </w:pPr>
    </w:p>
    <w:p>
      <w:pPr>
        <w:jc w:val="center"/>
        <w:ind w:right="-39"/>
        <w:spacing w:after="0"/>
        <w:rPr>
          <w:sz w:val="20"/>
          <w:szCs w:val="20"/>
          <w:color w:val="auto"/>
        </w:rPr>
      </w:pPr>
      <w:r>
        <w:rPr>
          <w:rFonts w:ascii="Arial" w:cs="Arial" w:eastAsia="Arial" w:hAnsi="Arial"/>
          <w:sz w:val="31"/>
          <w:szCs w:val="31"/>
          <w:b w:val="1"/>
          <w:bCs w:val="1"/>
          <w:color w:val="auto"/>
        </w:rPr>
        <w:t>SECURITIES AND EXCHANGE COMMISSION</w:t>
      </w:r>
    </w:p>
    <w:p>
      <w:pPr>
        <w:spacing w:after="0" w:line="1" w:lineRule="exact"/>
        <w:rPr>
          <w:sz w:val="24"/>
          <w:szCs w:val="24"/>
          <w:color w:val="auto"/>
        </w:rPr>
      </w:pPr>
    </w:p>
    <w:p>
      <w:pPr>
        <w:jc w:val="center"/>
        <w:ind w:right="-39"/>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2670810</wp:posOffset>
            </wp:positionH>
            <wp:positionV relativeFrom="paragraph">
              <wp:posOffset>206375</wp:posOffset>
            </wp:positionV>
            <wp:extent cx="180022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0022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jc w:val="center"/>
        <w:ind w:right="-39"/>
        <w:spacing w:after="0"/>
        <w:rPr>
          <w:sz w:val="20"/>
          <w:szCs w:val="20"/>
          <w:color w:val="auto"/>
        </w:rPr>
      </w:pPr>
      <w:r>
        <w:rPr>
          <w:rFonts w:ascii="Arial" w:cs="Arial" w:eastAsia="Arial" w:hAnsi="Arial"/>
          <w:sz w:val="20"/>
          <w:szCs w:val="20"/>
          <w:b w:val="1"/>
          <w:bCs w:val="1"/>
          <w:color w:val="auto"/>
        </w:rPr>
        <w:t>POST-EFFECTIVE AMENDMENT NO. 1 TO FORM S-3 REGISTRATION STATEMENT NO. 333-235877</w:t>
      </w:r>
    </w:p>
    <w:p>
      <w:pPr>
        <w:spacing w:after="0" w:line="202" w:lineRule="exact"/>
        <w:rPr>
          <w:sz w:val="24"/>
          <w:szCs w:val="24"/>
          <w:color w:val="auto"/>
        </w:rPr>
      </w:pPr>
    </w:p>
    <w:tbl>
      <w:tblPr>
        <w:tblLayout w:type="fixed"/>
        <w:tblInd w:w="1880" w:type="dxa"/>
        <w:tblCellMar>
          <w:top w:w="0" w:type="dxa"/>
          <w:left w:w="0" w:type="dxa"/>
          <w:bottom w:w="0" w:type="dxa"/>
          <w:right w:w="0" w:type="dxa"/>
        </w:tblCellMar>
      </w:tblPr>
      <w:tr>
        <w:trPr>
          <w:trHeight w:val="256"/>
        </w:trPr>
        <w:tc>
          <w:tcPr>
            <w:tcW w:w="1840" w:type="dxa"/>
            <w:vAlign w:val="bottom"/>
          </w:tcPr>
          <w:p>
            <w:pPr>
              <w:spacing w:after="0"/>
              <w:rPr>
                <w:sz w:val="22"/>
                <w:szCs w:val="22"/>
                <w:color w:val="auto"/>
              </w:rPr>
            </w:pPr>
          </w:p>
        </w:tc>
        <w:tc>
          <w:tcPr>
            <w:tcW w:w="5380" w:type="dxa"/>
            <w:vAlign w:val="bottom"/>
            <w:gridSpan w:val="3"/>
          </w:tcPr>
          <w:p>
            <w:pPr>
              <w:jc w:val="center"/>
              <w:ind w:right="1479"/>
              <w:spacing w:after="0"/>
              <w:rPr>
                <w:sz w:val="20"/>
                <w:szCs w:val="20"/>
                <w:color w:val="auto"/>
              </w:rPr>
            </w:pPr>
            <w:r>
              <w:rPr>
                <w:rFonts w:ascii="Arial" w:cs="Arial" w:eastAsia="Arial" w:hAnsi="Arial"/>
                <w:sz w:val="20"/>
                <w:szCs w:val="20"/>
                <w:b w:val="1"/>
                <w:bCs w:val="1"/>
                <w:color w:val="auto"/>
                <w:w w:val="98"/>
              </w:rPr>
              <w:t>UNDER THE SECURITIES ACT OF 1933</w:t>
            </w:r>
          </w:p>
        </w:tc>
      </w:tr>
      <w:tr>
        <w:trPr>
          <w:trHeight w:val="306"/>
        </w:trPr>
        <w:tc>
          <w:tcPr>
            <w:tcW w:w="18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40" w:type="dxa"/>
            <w:vAlign w:val="bottom"/>
            <w:tcBorders>
              <w:bottom w:val="single" w:sz="8" w:color="808080"/>
            </w:tcBorders>
          </w:tcPr>
          <w:p>
            <w:pPr>
              <w:spacing w:after="0"/>
              <w:rPr>
                <w:sz w:val="24"/>
                <w:szCs w:val="24"/>
                <w:color w:val="auto"/>
              </w:rPr>
            </w:pPr>
          </w:p>
        </w:tc>
        <w:tc>
          <w:tcPr>
            <w:tcW w:w="2060" w:type="dxa"/>
            <w:vAlign w:val="bottom"/>
          </w:tcPr>
          <w:p>
            <w:pPr>
              <w:spacing w:after="0"/>
              <w:rPr>
                <w:sz w:val="24"/>
                <w:szCs w:val="24"/>
                <w:color w:val="auto"/>
              </w:rPr>
            </w:pPr>
          </w:p>
        </w:tc>
      </w:tr>
      <w:tr>
        <w:trPr>
          <w:trHeight w:val="645"/>
        </w:trPr>
        <w:tc>
          <w:tcPr>
            <w:tcW w:w="1840" w:type="dxa"/>
            <w:vAlign w:val="bottom"/>
          </w:tcPr>
          <w:p>
            <w:pPr>
              <w:spacing w:after="0"/>
              <w:rPr>
                <w:sz w:val="24"/>
                <w:szCs w:val="24"/>
                <w:color w:val="auto"/>
              </w:rPr>
            </w:pPr>
          </w:p>
        </w:tc>
        <w:tc>
          <w:tcPr>
            <w:tcW w:w="5380" w:type="dxa"/>
            <w:vAlign w:val="bottom"/>
            <w:gridSpan w:val="3"/>
          </w:tcPr>
          <w:p>
            <w:pPr>
              <w:jc w:val="center"/>
              <w:ind w:right="1479"/>
              <w:spacing w:after="0"/>
              <w:rPr>
                <w:sz w:val="20"/>
                <w:szCs w:val="20"/>
                <w:color w:val="auto"/>
              </w:rPr>
            </w:pPr>
            <w:r>
              <w:rPr>
                <w:rFonts w:ascii="Arial" w:cs="Arial" w:eastAsia="Arial" w:hAnsi="Arial"/>
                <w:sz w:val="31"/>
                <w:szCs w:val="31"/>
                <w:b w:val="1"/>
                <w:bCs w:val="1"/>
                <w:color w:val="auto"/>
                <w:w w:val="98"/>
              </w:rPr>
              <w:t>FORTY SEVEN, INC.</w:t>
            </w:r>
          </w:p>
        </w:tc>
      </w:tr>
      <w:tr>
        <w:trPr>
          <w:trHeight w:val="206"/>
        </w:trPr>
        <w:tc>
          <w:tcPr>
            <w:tcW w:w="1840" w:type="dxa"/>
            <w:vAlign w:val="bottom"/>
          </w:tcPr>
          <w:p>
            <w:pPr>
              <w:spacing w:after="0"/>
              <w:rPr>
                <w:sz w:val="17"/>
                <w:szCs w:val="17"/>
                <w:color w:val="auto"/>
              </w:rPr>
            </w:pPr>
          </w:p>
        </w:tc>
        <w:tc>
          <w:tcPr>
            <w:tcW w:w="5380" w:type="dxa"/>
            <w:vAlign w:val="bottom"/>
            <w:gridSpan w:val="3"/>
          </w:tcPr>
          <w:p>
            <w:pPr>
              <w:jc w:val="center"/>
              <w:ind w:right="1499"/>
              <w:spacing w:after="0"/>
              <w:rPr>
                <w:sz w:val="20"/>
                <w:szCs w:val="20"/>
                <w:color w:val="auto"/>
              </w:rPr>
            </w:pPr>
            <w:r>
              <w:rPr>
                <w:rFonts w:ascii="Arial" w:cs="Arial" w:eastAsia="Arial" w:hAnsi="Arial"/>
                <w:sz w:val="16"/>
                <w:szCs w:val="16"/>
                <w:color w:val="auto"/>
                <w:w w:val="91"/>
              </w:rPr>
              <w:t>(Exact name of Registrant as specified in its charter)</w:t>
            </w:r>
          </w:p>
        </w:tc>
      </w:tr>
      <w:tr>
        <w:trPr>
          <w:trHeight w:val="317"/>
        </w:trPr>
        <w:tc>
          <w:tcPr>
            <w:tcW w:w="18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40" w:type="dxa"/>
            <w:vAlign w:val="bottom"/>
            <w:tcBorders>
              <w:bottom w:val="single" w:sz="8" w:color="808080"/>
            </w:tcBorders>
          </w:tcPr>
          <w:p>
            <w:pPr>
              <w:spacing w:after="0"/>
              <w:rPr>
                <w:sz w:val="24"/>
                <w:szCs w:val="24"/>
                <w:color w:val="auto"/>
              </w:rPr>
            </w:pPr>
          </w:p>
        </w:tc>
        <w:tc>
          <w:tcPr>
            <w:tcW w:w="2060" w:type="dxa"/>
            <w:vAlign w:val="bottom"/>
          </w:tcPr>
          <w:p>
            <w:pPr>
              <w:spacing w:after="0"/>
              <w:rPr>
                <w:sz w:val="24"/>
                <w:szCs w:val="24"/>
                <w:color w:val="auto"/>
              </w:rPr>
            </w:pPr>
          </w:p>
        </w:tc>
      </w:tr>
      <w:tr>
        <w:trPr>
          <w:trHeight w:val="497"/>
        </w:trPr>
        <w:tc>
          <w:tcPr>
            <w:tcW w:w="1840" w:type="dxa"/>
            <w:vAlign w:val="bottom"/>
          </w:tcPr>
          <w:p>
            <w:pPr>
              <w:jc w:val="center"/>
              <w:spacing w:after="0"/>
              <w:rPr>
                <w:sz w:val="20"/>
                <w:szCs w:val="20"/>
                <w:color w:val="auto"/>
              </w:rPr>
            </w:pPr>
            <w:r>
              <w:rPr>
                <w:rFonts w:ascii="Arial" w:cs="Arial" w:eastAsia="Arial" w:hAnsi="Arial"/>
                <w:sz w:val="16"/>
                <w:szCs w:val="16"/>
                <w:b w:val="1"/>
                <w:bCs w:val="1"/>
                <w:color w:val="auto"/>
                <w:w w:val="91"/>
              </w:rPr>
              <w:t>Delaware</w:t>
            </w:r>
          </w:p>
        </w:tc>
        <w:tc>
          <w:tcPr>
            <w:tcW w:w="5380" w:type="dxa"/>
            <w:vAlign w:val="bottom"/>
            <w:gridSpan w:val="3"/>
          </w:tcPr>
          <w:p>
            <w:pPr>
              <w:jc w:val="center"/>
              <w:ind w:left="4057"/>
              <w:spacing w:after="0"/>
              <w:rPr>
                <w:sz w:val="20"/>
                <w:szCs w:val="20"/>
                <w:color w:val="auto"/>
              </w:rPr>
            </w:pPr>
            <w:r>
              <w:rPr>
                <w:rFonts w:ascii="Arial" w:cs="Arial" w:eastAsia="Arial" w:hAnsi="Arial"/>
                <w:sz w:val="16"/>
                <w:szCs w:val="16"/>
                <w:b w:val="1"/>
                <w:bCs w:val="1"/>
                <w:color w:val="auto"/>
                <w:w w:val="91"/>
              </w:rPr>
              <w:t>47-4065674</w:t>
            </w:r>
          </w:p>
        </w:tc>
      </w:tr>
      <w:tr>
        <w:trPr>
          <w:trHeight w:val="203"/>
        </w:trPr>
        <w:tc>
          <w:tcPr>
            <w:tcW w:w="1840" w:type="dxa"/>
            <w:vAlign w:val="bottom"/>
          </w:tcPr>
          <w:p>
            <w:pPr>
              <w:jc w:val="center"/>
              <w:spacing w:after="0"/>
              <w:rPr>
                <w:sz w:val="20"/>
                <w:szCs w:val="20"/>
                <w:color w:val="auto"/>
              </w:rPr>
            </w:pPr>
            <w:r>
              <w:rPr>
                <w:rFonts w:ascii="Arial" w:cs="Arial" w:eastAsia="Arial" w:hAnsi="Arial"/>
                <w:sz w:val="16"/>
                <w:szCs w:val="16"/>
                <w:color w:val="auto"/>
                <w:w w:val="92"/>
              </w:rPr>
              <w:t>(State or Other Jurisdiction</w:t>
            </w:r>
          </w:p>
        </w:tc>
        <w:tc>
          <w:tcPr>
            <w:tcW w:w="48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2060" w:type="dxa"/>
            <w:vAlign w:val="bottom"/>
          </w:tcPr>
          <w:p>
            <w:pPr>
              <w:jc w:val="center"/>
              <w:ind w:left="759"/>
              <w:spacing w:after="0"/>
              <w:rPr>
                <w:sz w:val="20"/>
                <w:szCs w:val="20"/>
                <w:color w:val="auto"/>
              </w:rPr>
            </w:pPr>
            <w:r>
              <w:rPr>
                <w:rFonts w:ascii="Arial" w:cs="Arial" w:eastAsia="Arial" w:hAnsi="Arial"/>
                <w:sz w:val="16"/>
                <w:szCs w:val="16"/>
                <w:color w:val="auto"/>
                <w:w w:val="94"/>
              </w:rPr>
              <w:t>(IRS Employer</w:t>
            </w:r>
          </w:p>
        </w:tc>
      </w:tr>
      <w:tr>
        <w:trPr>
          <w:trHeight w:val="206"/>
        </w:trPr>
        <w:tc>
          <w:tcPr>
            <w:tcW w:w="1840" w:type="dxa"/>
            <w:vAlign w:val="bottom"/>
          </w:tcPr>
          <w:p>
            <w:pPr>
              <w:jc w:val="center"/>
              <w:spacing w:after="0"/>
              <w:rPr>
                <w:sz w:val="20"/>
                <w:szCs w:val="20"/>
                <w:color w:val="auto"/>
              </w:rPr>
            </w:pPr>
            <w:r>
              <w:rPr>
                <w:rFonts w:ascii="Arial" w:cs="Arial" w:eastAsia="Arial" w:hAnsi="Arial"/>
                <w:sz w:val="16"/>
                <w:szCs w:val="16"/>
                <w:color w:val="auto"/>
                <w:w w:val="96"/>
              </w:rPr>
              <w:t>of Incorporation)</w:t>
            </w:r>
          </w:p>
        </w:tc>
        <w:tc>
          <w:tcPr>
            <w:tcW w:w="48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2060" w:type="dxa"/>
            <w:vAlign w:val="bottom"/>
          </w:tcPr>
          <w:p>
            <w:pPr>
              <w:jc w:val="center"/>
              <w:ind w:left="759"/>
              <w:spacing w:after="0"/>
              <w:rPr>
                <w:sz w:val="20"/>
                <w:szCs w:val="20"/>
                <w:color w:val="auto"/>
              </w:rPr>
            </w:pPr>
            <w:r>
              <w:rPr>
                <w:rFonts w:ascii="Arial" w:cs="Arial" w:eastAsia="Arial" w:hAnsi="Arial"/>
                <w:sz w:val="16"/>
                <w:szCs w:val="16"/>
                <w:color w:val="auto"/>
                <w:w w:val="97"/>
              </w:rPr>
              <w:t>Identification No.)</w:t>
            </w:r>
          </w:p>
        </w:tc>
      </w:tr>
    </w:tbl>
    <w:p>
      <w:pPr>
        <w:spacing w:after="0" w:line="195" w:lineRule="exact"/>
        <w:rPr>
          <w:sz w:val="24"/>
          <w:szCs w:val="24"/>
          <w:color w:val="auto"/>
        </w:rPr>
      </w:pPr>
    </w:p>
    <w:p>
      <w:pPr>
        <w:jc w:val="center"/>
        <w:ind w:right="-39"/>
        <w:spacing w:after="0"/>
        <w:rPr>
          <w:sz w:val="20"/>
          <w:szCs w:val="20"/>
          <w:color w:val="auto"/>
        </w:rPr>
      </w:pPr>
      <w:r>
        <w:rPr>
          <w:rFonts w:ascii="Arial" w:cs="Arial" w:eastAsia="Arial" w:hAnsi="Arial"/>
          <w:sz w:val="16"/>
          <w:szCs w:val="16"/>
          <w:b w:val="1"/>
          <w:bCs w:val="1"/>
          <w:color w:val="auto"/>
        </w:rPr>
        <w:t>1490 O’Brien Drive, Suite A</w:t>
      </w:r>
    </w:p>
    <w:p>
      <w:pPr>
        <w:spacing w:after="0" w:line="26" w:lineRule="exact"/>
        <w:rPr>
          <w:sz w:val="24"/>
          <w:szCs w:val="24"/>
          <w:color w:val="auto"/>
        </w:rPr>
      </w:pPr>
    </w:p>
    <w:p>
      <w:pPr>
        <w:jc w:val="center"/>
        <w:ind w:right="-39"/>
        <w:spacing w:after="0"/>
        <w:rPr>
          <w:sz w:val="20"/>
          <w:szCs w:val="20"/>
          <w:color w:val="auto"/>
        </w:rPr>
      </w:pPr>
      <w:r>
        <w:rPr>
          <w:rFonts w:ascii="Arial" w:cs="Arial" w:eastAsia="Arial" w:hAnsi="Arial"/>
          <w:sz w:val="16"/>
          <w:szCs w:val="16"/>
          <w:b w:val="1"/>
          <w:bCs w:val="1"/>
          <w:color w:val="auto"/>
        </w:rPr>
        <w:t>Menlo Park, California 94025</w:t>
      </w:r>
    </w:p>
    <w:p>
      <w:pPr>
        <w:spacing w:after="0" w:line="19" w:lineRule="exact"/>
        <w:rPr>
          <w:sz w:val="24"/>
          <w:szCs w:val="24"/>
          <w:color w:val="auto"/>
        </w:rPr>
      </w:pPr>
    </w:p>
    <w:p>
      <w:pPr>
        <w:jc w:val="center"/>
        <w:ind w:right="-39"/>
        <w:spacing w:after="0"/>
        <w:rPr>
          <w:sz w:val="20"/>
          <w:szCs w:val="20"/>
          <w:color w:val="auto"/>
        </w:rPr>
      </w:pPr>
      <w:r>
        <w:rPr>
          <w:rFonts w:ascii="Arial" w:cs="Arial" w:eastAsia="Arial" w:hAnsi="Arial"/>
          <w:sz w:val="16"/>
          <w:szCs w:val="16"/>
          <w:b w:val="1"/>
          <w:bCs w:val="1"/>
          <w:color w:val="auto"/>
        </w:rPr>
        <w:t>(650) 352-4150</w:t>
      </w:r>
    </w:p>
    <w:p>
      <w:pPr>
        <w:spacing w:after="0" w:line="19" w:lineRule="exact"/>
        <w:rPr>
          <w:sz w:val="24"/>
          <w:szCs w:val="24"/>
          <w:color w:val="auto"/>
        </w:rPr>
      </w:pPr>
    </w:p>
    <w:p>
      <w:pPr>
        <w:jc w:val="center"/>
        <w:ind w:right="-39"/>
        <w:spacing w:after="0"/>
        <w:rPr>
          <w:sz w:val="20"/>
          <w:szCs w:val="20"/>
          <w:color w:val="auto"/>
        </w:rPr>
      </w:pPr>
      <w:r>
        <w:rPr>
          <w:rFonts w:ascii="Arial" w:cs="Arial" w:eastAsia="Arial" w:hAnsi="Arial"/>
          <w:sz w:val="16"/>
          <w:szCs w:val="16"/>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2670810</wp:posOffset>
            </wp:positionH>
            <wp:positionV relativeFrom="paragraph">
              <wp:posOffset>212725</wp:posOffset>
            </wp:positionV>
            <wp:extent cx="180022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0022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5" w:lineRule="exact"/>
        <w:rPr>
          <w:sz w:val="24"/>
          <w:szCs w:val="24"/>
          <w:color w:val="auto"/>
        </w:rPr>
      </w:pPr>
    </w:p>
    <w:p>
      <w:pPr>
        <w:jc w:val="center"/>
        <w:ind w:right="-39"/>
        <w:spacing w:after="0"/>
        <w:rPr>
          <w:sz w:val="20"/>
          <w:szCs w:val="20"/>
          <w:color w:val="auto"/>
        </w:rPr>
      </w:pPr>
      <w:r>
        <w:rPr>
          <w:rFonts w:ascii="Arial" w:cs="Arial" w:eastAsia="Arial" w:hAnsi="Arial"/>
          <w:sz w:val="16"/>
          <w:szCs w:val="16"/>
          <w:b w:val="1"/>
          <w:bCs w:val="1"/>
          <w:color w:val="auto"/>
        </w:rPr>
        <w:t>Brett A. Pletcher, Esq.</w:t>
      </w:r>
    </w:p>
    <w:p>
      <w:pPr>
        <w:spacing w:after="0" w:line="26" w:lineRule="exact"/>
        <w:rPr>
          <w:sz w:val="24"/>
          <w:szCs w:val="24"/>
          <w:color w:val="auto"/>
        </w:rPr>
      </w:pPr>
    </w:p>
    <w:p>
      <w:pPr>
        <w:jc w:val="center"/>
        <w:ind w:right="-39"/>
        <w:spacing w:after="0"/>
        <w:rPr>
          <w:sz w:val="20"/>
          <w:szCs w:val="20"/>
          <w:color w:val="auto"/>
        </w:rPr>
      </w:pPr>
      <w:r>
        <w:rPr>
          <w:rFonts w:ascii="Arial" w:cs="Arial" w:eastAsia="Arial" w:hAnsi="Arial"/>
          <w:sz w:val="16"/>
          <w:szCs w:val="16"/>
          <w:b w:val="1"/>
          <w:bCs w:val="1"/>
          <w:color w:val="auto"/>
        </w:rPr>
        <w:t>Secretary</w:t>
      </w:r>
    </w:p>
    <w:p>
      <w:pPr>
        <w:spacing w:after="0" w:line="19" w:lineRule="exact"/>
        <w:rPr>
          <w:sz w:val="24"/>
          <w:szCs w:val="24"/>
          <w:color w:val="auto"/>
        </w:rPr>
      </w:pPr>
    </w:p>
    <w:p>
      <w:pPr>
        <w:jc w:val="center"/>
        <w:ind w:right="-39"/>
        <w:spacing w:after="0"/>
        <w:rPr>
          <w:sz w:val="20"/>
          <w:szCs w:val="20"/>
          <w:color w:val="auto"/>
        </w:rPr>
      </w:pPr>
      <w:r>
        <w:rPr>
          <w:rFonts w:ascii="Arial" w:cs="Arial" w:eastAsia="Arial" w:hAnsi="Arial"/>
          <w:sz w:val="16"/>
          <w:szCs w:val="16"/>
          <w:b w:val="1"/>
          <w:bCs w:val="1"/>
          <w:color w:val="auto"/>
        </w:rPr>
        <w:t>Forty Seven, Inc.</w:t>
      </w:r>
    </w:p>
    <w:p>
      <w:pPr>
        <w:spacing w:after="0" w:line="19" w:lineRule="exact"/>
        <w:rPr>
          <w:sz w:val="24"/>
          <w:szCs w:val="24"/>
          <w:color w:val="auto"/>
        </w:rPr>
      </w:pPr>
    </w:p>
    <w:p>
      <w:pPr>
        <w:jc w:val="center"/>
        <w:ind w:right="-39"/>
        <w:spacing w:after="0"/>
        <w:rPr>
          <w:sz w:val="20"/>
          <w:szCs w:val="20"/>
          <w:color w:val="auto"/>
        </w:rPr>
      </w:pPr>
      <w:r>
        <w:rPr>
          <w:rFonts w:ascii="Arial" w:cs="Arial" w:eastAsia="Arial" w:hAnsi="Arial"/>
          <w:sz w:val="16"/>
          <w:szCs w:val="16"/>
          <w:b w:val="1"/>
          <w:bCs w:val="1"/>
          <w:color w:val="auto"/>
        </w:rPr>
        <w:t>c/o Gilead Sciences, Inc.</w:t>
      </w:r>
    </w:p>
    <w:p>
      <w:pPr>
        <w:spacing w:after="0" w:line="19" w:lineRule="exact"/>
        <w:rPr>
          <w:sz w:val="24"/>
          <w:szCs w:val="24"/>
          <w:color w:val="auto"/>
        </w:rPr>
      </w:pPr>
    </w:p>
    <w:p>
      <w:pPr>
        <w:jc w:val="center"/>
        <w:ind w:right="-39"/>
        <w:spacing w:after="0"/>
        <w:rPr>
          <w:sz w:val="20"/>
          <w:szCs w:val="20"/>
          <w:color w:val="auto"/>
        </w:rPr>
      </w:pPr>
      <w:r>
        <w:rPr>
          <w:rFonts w:ascii="Arial" w:cs="Arial" w:eastAsia="Arial" w:hAnsi="Arial"/>
          <w:sz w:val="16"/>
          <w:szCs w:val="16"/>
          <w:b w:val="1"/>
          <w:bCs w:val="1"/>
          <w:color w:val="auto"/>
        </w:rPr>
        <w:t>333 Lakeside Drive</w:t>
      </w:r>
    </w:p>
    <w:p>
      <w:pPr>
        <w:spacing w:after="0" w:line="19" w:lineRule="exact"/>
        <w:rPr>
          <w:sz w:val="24"/>
          <w:szCs w:val="24"/>
          <w:color w:val="auto"/>
        </w:rPr>
      </w:pPr>
    </w:p>
    <w:p>
      <w:pPr>
        <w:jc w:val="center"/>
        <w:ind w:right="-39"/>
        <w:spacing w:after="0"/>
        <w:rPr>
          <w:sz w:val="20"/>
          <w:szCs w:val="20"/>
          <w:color w:val="auto"/>
        </w:rPr>
      </w:pPr>
      <w:r>
        <w:rPr>
          <w:rFonts w:ascii="Arial" w:cs="Arial" w:eastAsia="Arial" w:hAnsi="Arial"/>
          <w:sz w:val="16"/>
          <w:szCs w:val="16"/>
          <w:b w:val="1"/>
          <w:bCs w:val="1"/>
          <w:color w:val="auto"/>
        </w:rPr>
        <w:t>Foster City, CA 94404</w:t>
      </w:r>
    </w:p>
    <w:p>
      <w:pPr>
        <w:spacing w:after="0" w:line="19" w:lineRule="exact"/>
        <w:rPr>
          <w:sz w:val="24"/>
          <w:szCs w:val="24"/>
          <w:color w:val="auto"/>
        </w:rPr>
      </w:pPr>
    </w:p>
    <w:p>
      <w:pPr>
        <w:jc w:val="center"/>
        <w:ind w:right="-39"/>
        <w:spacing w:after="0"/>
        <w:rPr>
          <w:sz w:val="20"/>
          <w:szCs w:val="20"/>
          <w:color w:val="auto"/>
        </w:rPr>
      </w:pPr>
      <w:r>
        <w:rPr>
          <w:rFonts w:ascii="Arial" w:cs="Arial" w:eastAsia="Arial" w:hAnsi="Arial"/>
          <w:sz w:val="16"/>
          <w:szCs w:val="16"/>
          <w:b w:val="1"/>
          <w:bCs w:val="1"/>
          <w:color w:val="auto"/>
        </w:rPr>
        <w:t>650-574-3000</w:t>
      </w:r>
    </w:p>
    <w:p>
      <w:pPr>
        <w:spacing w:after="0" w:line="19" w:lineRule="exact"/>
        <w:rPr>
          <w:sz w:val="24"/>
          <w:szCs w:val="24"/>
          <w:color w:val="auto"/>
        </w:rPr>
      </w:pPr>
    </w:p>
    <w:p>
      <w:pPr>
        <w:jc w:val="center"/>
        <w:ind w:right="-39"/>
        <w:spacing w:after="0"/>
        <w:rPr>
          <w:sz w:val="20"/>
          <w:szCs w:val="20"/>
          <w:color w:val="auto"/>
        </w:rPr>
      </w:pPr>
      <w:r>
        <w:rPr>
          <w:rFonts w:ascii="Arial" w:cs="Arial" w:eastAsia="Arial" w:hAnsi="Arial"/>
          <w:sz w:val="16"/>
          <w:szCs w:val="16"/>
          <w:color w:val="auto"/>
        </w:rPr>
        <w:t>(Name, address and telephone number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2670810</wp:posOffset>
            </wp:positionH>
            <wp:positionV relativeFrom="paragraph">
              <wp:posOffset>212725</wp:posOffset>
            </wp:positionV>
            <wp:extent cx="180022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0022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5" w:lineRule="exact"/>
        <w:rPr>
          <w:sz w:val="24"/>
          <w:szCs w:val="24"/>
          <w:color w:val="auto"/>
        </w:rPr>
      </w:pPr>
    </w:p>
    <w:tbl>
      <w:tblPr>
        <w:tblLayout w:type="fixed"/>
        <w:tblInd w:w="1220" w:type="dxa"/>
        <w:tblCellMar>
          <w:top w:w="0" w:type="dxa"/>
          <w:left w:w="0" w:type="dxa"/>
          <w:bottom w:w="0" w:type="dxa"/>
          <w:right w:w="0" w:type="dxa"/>
        </w:tblCellMar>
      </w:tblPr>
      <w:tr>
        <w:trPr>
          <w:trHeight w:val="210"/>
        </w:trPr>
        <w:tc>
          <w:tcPr>
            <w:tcW w:w="3560" w:type="dxa"/>
            <w:vAlign w:val="bottom"/>
          </w:tcPr>
          <w:p>
            <w:pPr>
              <w:spacing w:after="0"/>
              <w:rPr>
                <w:sz w:val="18"/>
                <w:szCs w:val="18"/>
                <w:color w:val="auto"/>
              </w:rPr>
            </w:pPr>
          </w:p>
        </w:tc>
        <w:tc>
          <w:tcPr>
            <w:tcW w:w="5260" w:type="dxa"/>
            <w:vAlign w:val="bottom"/>
          </w:tcPr>
          <w:p>
            <w:pPr>
              <w:ind w:left="500"/>
              <w:spacing w:after="0"/>
              <w:rPr>
                <w:sz w:val="20"/>
                <w:szCs w:val="20"/>
                <w:color w:val="auto"/>
              </w:rPr>
            </w:pPr>
            <w:r>
              <w:rPr>
                <w:rFonts w:ascii="Arial" w:cs="Arial" w:eastAsia="Arial" w:hAnsi="Arial"/>
                <w:sz w:val="16"/>
                <w:szCs w:val="16"/>
                <w:b w:val="1"/>
                <w:bCs w:val="1"/>
                <w:color w:val="auto"/>
              </w:rPr>
              <w:t>Copies to:</w:t>
            </w:r>
          </w:p>
        </w:tc>
      </w:tr>
      <w:tr>
        <w:trPr>
          <w:trHeight w:val="397"/>
        </w:trPr>
        <w:tc>
          <w:tcPr>
            <w:tcW w:w="3560" w:type="dxa"/>
            <w:vAlign w:val="bottom"/>
          </w:tcPr>
          <w:p>
            <w:pPr>
              <w:jc w:val="center"/>
              <w:ind w:right="399"/>
              <w:spacing w:after="0"/>
              <w:rPr>
                <w:sz w:val="20"/>
                <w:szCs w:val="20"/>
                <w:color w:val="auto"/>
              </w:rPr>
            </w:pPr>
            <w:r>
              <w:rPr>
                <w:rFonts w:ascii="Arial" w:cs="Arial" w:eastAsia="Arial" w:hAnsi="Arial"/>
                <w:sz w:val="16"/>
                <w:szCs w:val="16"/>
                <w:b w:val="1"/>
                <w:bCs w:val="1"/>
                <w:color w:val="auto"/>
                <w:w w:val="90"/>
              </w:rPr>
              <w:t>Stephen F. Arcano</w:t>
            </w:r>
          </w:p>
        </w:tc>
        <w:tc>
          <w:tcPr>
            <w:tcW w:w="5260" w:type="dxa"/>
            <w:vAlign w:val="bottom"/>
          </w:tcPr>
          <w:p>
            <w:pPr>
              <w:jc w:val="center"/>
              <w:ind w:left="2099"/>
              <w:spacing w:after="0"/>
              <w:rPr>
                <w:sz w:val="20"/>
                <w:szCs w:val="20"/>
                <w:color w:val="auto"/>
              </w:rPr>
            </w:pPr>
            <w:r>
              <w:rPr>
                <w:rFonts w:ascii="Arial" w:cs="Arial" w:eastAsia="Arial" w:hAnsi="Arial"/>
                <w:sz w:val="16"/>
                <w:szCs w:val="16"/>
                <w:b w:val="1"/>
                <w:bCs w:val="1"/>
                <w:color w:val="auto"/>
                <w:w w:val="92"/>
              </w:rPr>
              <w:t>Graham Robinson</w:t>
            </w:r>
          </w:p>
        </w:tc>
      </w:tr>
      <w:tr>
        <w:trPr>
          <w:trHeight w:val="203"/>
        </w:trPr>
        <w:tc>
          <w:tcPr>
            <w:tcW w:w="3560" w:type="dxa"/>
            <w:vAlign w:val="bottom"/>
          </w:tcPr>
          <w:p>
            <w:pPr>
              <w:jc w:val="center"/>
              <w:ind w:right="399"/>
              <w:spacing w:after="0"/>
              <w:rPr>
                <w:sz w:val="20"/>
                <w:szCs w:val="20"/>
                <w:color w:val="auto"/>
              </w:rPr>
            </w:pPr>
            <w:r>
              <w:rPr>
                <w:rFonts w:ascii="Arial" w:cs="Arial" w:eastAsia="Arial" w:hAnsi="Arial"/>
                <w:sz w:val="16"/>
                <w:szCs w:val="16"/>
                <w:b w:val="1"/>
                <w:bCs w:val="1"/>
                <w:color w:val="auto"/>
                <w:w w:val="94"/>
              </w:rPr>
              <w:t>Skadden, Arps, Slate, Meagher &amp; Flom LLP</w:t>
            </w:r>
          </w:p>
        </w:tc>
        <w:tc>
          <w:tcPr>
            <w:tcW w:w="5260" w:type="dxa"/>
            <w:vAlign w:val="bottom"/>
          </w:tcPr>
          <w:p>
            <w:pPr>
              <w:jc w:val="center"/>
              <w:ind w:left="2099"/>
              <w:spacing w:after="0"/>
              <w:rPr>
                <w:sz w:val="20"/>
                <w:szCs w:val="20"/>
                <w:color w:val="auto"/>
              </w:rPr>
            </w:pPr>
            <w:r>
              <w:rPr>
                <w:rFonts w:ascii="Arial" w:cs="Arial" w:eastAsia="Arial" w:hAnsi="Arial"/>
                <w:sz w:val="16"/>
                <w:szCs w:val="16"/>
                <w:b w:val="1"/>
                <w:bCs w:val="1"/>
                <w:color w:val="auto"/>
                <w:w w:val="94"/>
              </w:rPr>
              <w:t>Skadden, Arps, Slate, Meagher &amp; Flom LLP</w:t>
            </w:r>
          </w:p>
        </w:tc>
      </w:tr>
      <w:tr>
        <w:trPr>
          <w:trHeight w:val="203"/>
        </w:trPr>
        <w:tc>
          <w:tcPr>
            <w:tcW w:w="3560" w:type="dxa"/>
            <w:vAlign w:val="bottom"/>
          </w:tcPr>
          <w:p>
            <w:pPr>
              <w:jc w:val="center"/>
              <w:ind w:right="399"/>
              <w:spacing w:after="0"/>
              <w:rPr>
                <w:sz w:val="20"/>
                <w:szCs w:val="20"/>
                <w:color w:val="auto"/>
              </w:rPr>
            </w:pPr>
            <w:r>
              <w:rPr>
                <w:rFonts w:ascii="Arial" w:cs="Arial" w:eastAsia="Arial" w:hAnsi="Arial"/>
                <w:sz w:val="16"/>
                <w:szCs w:val="16"/>
                <w:b w:val="1"/>
                <w:bCs w:val="1"/>
                <w:color w:val="auto"/>
                <w:w w:val="93"/>
              </w:rPr>
              <w:t>One Manhattan West</w:t>
            </w:r>
          </w:p>
        </w:tc>
        <w:tc>
          <w:tcPr>
            <w:tcW w:w="5260" w:type="dxa"/>
            <w:vAlign w:val="bottom"/>
          </w:tcPr>
          <w:p>
            <w:pPr>
              <w:jc w:val="center"/>
              <w:ind w:left="2079"/>
              <w:spacing w:after="0"/>
              <w:rPr>
                <w:sz w:val="20"/>
                <w:szCs w:val="20"/>
                <w:color w:val="auto"/>
              </w:rPr>
            </w:pPr>
            <w:r>
              <w:rPr>
                <w:rFonts w:ascii="Arial" w:cs="Arial" w:eastAsia="Arial" w:hAnsi="Arial"/>
                <w:sz w:val="16"/>
                <w:szCs w:val="16"/>
                <w:b w:val="1"/>
                <w:bCs w:val="1"/>
                <w:color w:val="auto"/>
                <w:w w:val="89"/>
              </w:rPr>
              <w:t>500 Boylston Street</w:t>
            </w:r>
          </w:p>
        </w:tc>
      </w:tr>
      <w:tr>
        <w:trPr>
          <w:trHeight w:val="203"/>
        </w:trPr>
        <w:tc>
          <w:tcPr>
            <w:tcW w:w="3560" w:type="dxa"/>
            <w:vAlign w:val="bottom"/>
          </w:tcPr>
          <w:p>
            <w:pPr>
              <w:jc w:val="center"/>
              <w:ind w:right="399"/>
              <w:spacing w:after="0"/>
              <w:rPr>
                <w:sz w:val="20"/>
                <w:szCs w:val="20"/>
                <w:color w:val="auto"/>
              </w:rPr>
            </w:pPr>
            <w:r>
              <w:rPr>
                <w:rFonts w:ascii="Arial" w:cs="Arial" w:eastAsia="Arial" w:hAnsi="Arial"/>
                <w:sz w:val="16"/>
                <w:szCs w:val="16"/>
                <w:b w:val="1"/>
                <w:bCs w:val="1"/>
                <w:color w:val="auto"/>
                <w:w w:val="94"/>
              </w:rPr>
              <w:t>New York, NY 10001</w:t>
            </w:r>
          </w:p>
        </w:tc>
        <w:tc>
          <w:tcPr>
            <w:tcW w:w="5260" w:type="dxa"/>
            <w:vAlign w:val="bottom"/>
          </w:tcPr>
          <w:p>
            <w:pPr>
              <w:jc w:val="center"/>
              <w:ind w:left="2079"/>
              <w:spacing w:after="0"/>
              <w:rPr>
                <w:sz w:val="20"/>
                <w:szCs w:val="20"/>
                <w:color w:val="auto"/>
              </w:rPr>
            </w:pPr>
            <w:r>
              <w:rPr>
                <w:rFonts w:ascii="Arial" w:cs="Arial" w:eastAsia="Arial" w:hAnsi="Arial"/>
                <w:sz w:val="16"/>
                <w:szCs w:val="16"/>
                <w:b w:val="1"/>
                <w:bCs w:val="1"/>
                <w:color w:val="auto"/>
                <w:w w:val="91"/>
              </w:rPr>
              <w:t>Boston, MA 02116</w:t>
            </w:r>
          </w:p>
        </w:tc>
      </w:tr>
      <w:tr>
        <w:trPr>
          <w:trHeight w:val="210"/>
        </w:trPr>
        <w:tc>
          <w:tcPr>
            <w:tcW w:w="3560" w:type="dxa"/>
            <w:vAlign w:val="bottom"/>
          </w:tcPr>
          <w:p>
            <w:pPr>
              <w:jc w:val="center"/>
              <w:ind w:right="399"/>
              <w:spacing w:after="0"/>
              <w:rPr>
                <w:sz w:val="20"/>
                <w:szCs w:val="20"/>
                <w:color w:val="auto"/>
              </w:rPr>
            </w:pPr>
            <w:r>
              <w:rPr>
                <w:rFonts w:ascii="Arial" w:cs="Arial" w:eastAsia="Arial" w:hAnsi="Arial"/>
                <w:sz w:val="16"/>
                <w:szCs w:val="16"/>
                <w:b w:val="1"/>
                <w:bCs w:val="1"/>
                <w:color w:val="auto"/>
                <w:w w:val="91"/>
              </w:rPr>
              <w:t>(212) 735-3542</w:t>
            </w:r>
          </w:p>
        </w:tc>
        <w:tc>
          <w:tcPr>
            <w:tcW w:w="5260" w:type="dxa"/>
            <w:vAlign w:val="bottom"/>
          </w:tcPr>
          <w:p>
            <w:pPr>
              <w:jc w:val="center"/>
              <w:ind w:left="2079"/>
              <w:spacing w:after="0"/>
              <w:rPr>
                <w:sz w:val="20"/>
                <w:szCs w:val="20"/>
                <w:color w:val="auto"/>
              </w:rPr>
            </w:pPr>
            <w:r>
              <w:rPr>
                <w:rFonts w:ascii="Arial" w:cs="Arial" w:eastAsia="Arial" w:hAnsi="Arial"/>
                <w:sz w:val="16"/>
                <w:szCs w:val="16"/>
                <w:b w:val="1"/>
                <w:bCs w:val="1"/>
                <w:color w:val="auto"/>
                <w:w w:val="93"/>
              </w:rPr>
              <w:t>(617) 573-4850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2670810</wp:posOffset>
            </wp:positionH>
            <wp:positionV relativeFrom="paragraph">
              <wp:posOffset>201295</wp:posOffset>
            </wp:positionV>
            <wp:extent cx="180022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0022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ind w:right="360" w:firstLine="363"/>
        <w:spacing w:after="0" w:line="298" w:lineRule="auto"/>
        <w:rPr>
          <w:sz w:val="20"/>
          <w:szCs w:val="20"/>
          <w:color w:val="auto"/>
        </w:rPr>
      </w:pPr>
      <w:r>
        <w:rPr>
          <w:rFonts w:ascii="Arial" w:cs="Arial" w:eastAsia="Arial" w:hAnsi="Arial"/>
          <w:sz w:val="16"/>
          <w:szCs w:val="16"/>
          <w:b w:val="1"/>
          <w:bCs w:val="1"/>
          <w:color w:val="auto"/>
        </w:rPr>
        <w:t xml:space="preserve">Approximate date of commencement of proposed sale to the public: </w:t>
      </w:r>
      <w:r>
        <w:rPr>
          <w:rFonts w:ascii="Arial" w:cs="Arial" w:eastAsia="Arial" w:hAnsi="Arial"/>
          <w:sz w:val="16"/>
          <w:szCs w:val="16"/>
          <w:color w:val="auto"/>
        </w:rPr>
        <w:t>Not applicable. Removal from registration of securities that were not sold pursuant to the</w:t>
      </w:r>
      <w:r>
        <w:rPr>
          <w:rFonts w:ascii="Arial" w:cs="Arial" w:eastAsia="Arial" w:hAnsi="Arial"/>
          <w:sz w:val="16"/>
          <w:szCs w:val="16"/>
          <w:b w:val="1"/>
          <w:bCs w:val="1"/>
          <w:color w:val="auto"/>
        </w:rPr>
        <w:t xml:space="preserve"> </w:t>
      </w:r>
      <w:r>
        <w:rPr>
          <w:rFonts w:ascii="Arial" w:cs="Arial" w:eastAsia="Arial" w:hAnsi="Arial"/>
          <w:sz w:val="16"/>
          <w:szCs w:val="16"/>
          <w:color w:val="auto"/>
        </w:rPr>
        <w:t>above referenced registration statement.</w:t>
      </w:r>
    </w:p>
    <w:p>
      <w:pPr>
        <w:spacing w:after="0" w:line="155" w:lineRule="exact"/>
        <w:rPr>
          <w:sz w:val="24"/>
          <w:szCs w:val="24"/>
          <w:color w:val="auto"/>
        </w:rPr>
      </w:pPr>
    </w:p>
    <w:p>
      <w:pPr>
        <w:ind w:left="380"/>
        <w:spacing w:after="0"/>
        <w:rPr>
          <w:sz w:val="20"/>
          <w:szCs w:val="20"/>
          <w:color w:val="auto"/>
        </w:rPr>
      </w:pPr>
      <w:r>
        <w:rPr>
          <w:rFonts w:ascii="Arial" w:cs="Arial" w:eastAsia="Arial" w:hAnsi="Arial"/>
          <w:sz w:val="15"/>
          <w:szCs w:val="15"/>
          <w:color w:val="auto"/>
        </w:rPr>
        <w:t>If the only securities being registered on this Form are being offered pursuant to dividend or interest reinvestment plans, please check the following box. o</w:t>
      </w:r>
    </w:p>
    <w:p>
      <w:pPr>
        <w:spacing w:after="0" w:line="233" w:lineRule="exact"/>
        <w:rPr>
          <w:sz w:val="24"/>
          <w:szCs w:val="24"/>
          <w:color w:val="auto"/>
        </w:rPr>
      </w:pPr>
    </w:p>
    <w:p>
      <w:pPr>
        <w:ind w:right="220" w:firstLine="363"/>
        <w:spacing w:after="0" w:line="293" w:lineRule="auto"/>
        <w:rPr>
          <w:sz w:val="20"/>
          <w:szCs w:val="20"/>
          <w:color w:val="auto"/>
        </w:rPr>
      </w:pPr>
      <w:r>
        <w:rPr>
          <w:rFonts w:ascii="Arial" w:cs="Arial" w:eastAsia="Arial" w:hAnsi="Arial"/>
          <w:sz w:val="16"/>
          <w:szCs w:val="16"/>
          <w:color w:val="auto"/>
        </w:rPr>
        <w:t>If any of the securities being registered on this Form are to be offered on a delayed or continuous basis pursuant to Rule 415 under the Securities Act of 1933, other than securities offered only in connection with dividend or interest reinvestment plans, check the following box. o</w:t>
      </w:r>
    </w:p>
    <w:p>
      <w:pPr>
        <w:spacing w:after="0" w:line="158" w:lineRule="exact"/>
        <w:rPr>
          <w:sz w:val="24"/>
          <w:szCs w:val="24"/>
          <w:color w:val="auto"/>
        </w:rPr>
      </w:pPr>
    </w:p>
    <w:p>
      <w:pPr>
        <w:ind w:right="520" w:firstLine="363"/>
        <w:spacing w:after="0" w:line="293" w:lineRule="auto"/>
        <w:rPr>
          <w:sz w:val="20"/>
          <w:szCs w:val="20"/>
          <w:color w:val="auto"/>
        </w:rPr>
      </w:pPr>
      <w:r>
        <w:rPr>
          <w:rFonts w:ascii="Arial" w:cs="Arial" w:eastAsia="Arial" w:hAnsi="Arial"/>
          <w:sz w:val="16"/>
          <w:szCs w:val="16"/>
          <w:color w:val="auto"/>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o</w:t>
      </w:r>
    </w:p>
    <w:p>
      <w:pPr>
        <w:spacing w:after="0" w:line="158" w:lineRule="exact"/>
        <w:rPr>
          <w:sz w:val="24"/>
          <w:szCs w:val="24"/>
          <w:color w:val="auto"/>
        </w:rPr>
      </w:pPr>
    </w:p>
    <w:p>
      <w:pPr>
        <w:ind w:right="420" w:firstLine="363"/>
        <w:spacing w:after="0" w:line="293" w:lineRule="auto"/>
        <w:rPr>
          <w:sz w:val="20"/>
          <w:szCs w:val="20"/>
          <w:color w:val="auto"/>
        </w:rPr>
      </w:pPr>
      <w:r>
        <w:rPr>
          <w:rFonts w:ascii="Arial" w:cs="Arial" w:eastAsia="Arial" w:hAnsi="Arial"/>
          <w:sz w:val="16"/>
          <w:szCs w:val="16"/>
          <w:color w:val="auto"/>
        </w:rPr>
        <w:t>If this Form is a post-effective amendment filed pursuant to Rule 462(c) under the Securities Act, check the following box and list the Securities Act registration statement number of the earlier effective registration statement for the same offering. o</w:t>
      </w:r>
    </w:p>
    <w:p>
      <w:pPr>
        <w:spacing w:after="0" w:line="158" w:lineRule="exact"/>
        <w:rPr>
          <w:sz w:val="24"/>
          <w:szCs w:val="24"/>
          <w:color w:val="auto"/>
        </w:rPr>
      </w:pPr>
    </w:p>
    <w:p>
      <w:pPr>
        <w:ind w:right="400" w:firstLine="363"/>
        <w:spacing w:after="0" w:line="293" w:lineRule="auto"/>
        <w:rPr>
          <w:sz w:val="20"/>
          <w:szCs w:val="20"/>
          <w:color w:val="auto"/>
        </w:rPr>
      </w:pPr>
      <w:r>
        <w:rPr>
          <w:rFonts w:ascii="Arial" w:cs="Arial" w:eastAsia="Arial" w:hAnsi="Arial"/>
          <w:sz w:val="16"/>
          <w:szCs w:val="16"/>
          <w:color w:val="auto"/>
        </w:rPr>
        <w:t>If this Form is a registration statement pursuant to General Instruction I.D. or a post-effective amendment thereto that shall become effective upon filing with the Commission pursuant to Rule 462(e) under the Securities Act, check the following box. x</w:t>
      </w:r>
    </w:p>
    <w:p>
      <w:pPr>
        <w:spacing w:after="0" w:line="158" w:lineRule="exact"/>
        <w:rPr>
          <w:sz w:val="24"/>
          <w:szCs w:val="24"/>
          <w:color w:val="auto"/>
        </w:rPr>
      </w:pPr>
    </w:p>
    <w:p>
      <w:pPr>
        <w:ind w:right="420" w:firstLine="363"/>
        <w:spacing w:after="0" w:line="293" w:lineRule="auto"/>
        <w:rPr>
          <w:sz w:val="20"/>
          <w:szCs w:val="20"/>
          <w:color w:val="auto"/>
        </w:rPr>
      </w:pPr>
      <w:r>
        <w:rPr>
          <w:rFonts w:ascii="Arial" w:cs="Arial" w:eastAsia="Arial" w:hAnsi="Arial"/>
          <w:sz w:val="16"/>
          <w:szCs w:val="16"/>
          <w:color w:val="auto"/>
        </w:rPr>
        <w:t>If this Form is a post-effective amendment to a registration statement filed pursuant to General Instruction I.D. filed to register additional securities or additional classes of securities pursuant to Rule 413(b) under the Securities Act, check the following box. o</w:t>
      </w:r>
    </w:p>
    <w:p>
      <w:pPr>
        <w:spacing w:after="0" w:line="158" w:lineRule="exact"/>
        <w:rPr>
          <w:sz w:val="24"/>
          <w:szCs w:val="24"/>
          <w:color w:val="auto"/>
        </w:rPr>
      </w:pPr>
    </w:p>
    <w:p>
      <w:pPr>
        <w:ind w:right="120"/>
        <w:spacing w:after="0" w:line="27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46" w:orient="portrait"/>
          <w:cols w:equalWidth="0" w:num="1">
            <w:col w:w="11200"/>
          </w:cols>
          <w:pgMar w:left="320" w:top="436" w:right="379" w:bottom="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3"/>
        </w:trPr>
        <w:tc>
          <w:tcPr>
            <w:tcW w:w="172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320" w:type="dxa"/>
            <w:vAlign w:val="bottom"/>
          </w:tcPr>
          <w:p>
            <w:pPr>
              <w:ind w:left="260"/>
              <w:spacing w:after="0"/>
              <w:rPr>
                <w:sz w:val="20"/>
                <w:szCs w:val="20"/>
                <w:color w:val="auto"/>
              </w:rPr>
            </w:pPr>
            <w:r>
              <w:rPr>
                <w:rFonts w:ascii="Arial" w:cs="Arial" w:eastAsia="Arial" w:hAnsi="Arial"/>
                <w:sz w:val="16"/>
                <w:szCs w:val="16"/>
                <w:color w:val="auto"/>
              </w:rPr>
              <w:t>o</w:t>
            </w:r>
          </w:p>
        </w:tc>
        <w:tc>
          <w:tcPr>
            <w:tcW w:w="5280" w:type="dxa"/>
            <w:vAlign w:val="bottom"/>
          </w:tcPr>
          <w:p>
            <w:pPr>
              <w:ind w:left="2960"/>
              <w:spacing w:after="0"/>
              <w:rPr>
                <w:sz w:val="20"/>
                <w:szCs w:val="20"/>
                <w:color w:val="auto"/>
              </w:rPr>
            </w:pPr>
            <w:r>
              <w:rPr>
                <w:rFonts w:ascii="Arial" w:cs="Arial" w:eastAsia="Arial" w:hAnsi="Arial"/>
                <w:sz w:val="16"/>
                <w:szCs w:val="16"/>
                <w:color w:val="auto"/>
              </w:rPr>
              <w:t>Accelerated filer</w:t>
            </w:r>
          </w:p>
        </w:tc>
        <w:tc>
          <w:tcPr>
            <w:tcW w:w="600" w:type="dxa"/>
            <w:vAlign w:val="bottom"/>
          </w:tcPr>
          <w:p>
            <w:pPr>
              <w:ind w:left="520"/>
              <w:spacing w:after="0"/>
              <w:rPr>
                <w:sz w:val="20"/>
                <w:szCs w:val="20"/>
                <w:color w:val="auto"/>
              </w:rPr>
            </w:pPr>
            <w:r>
              <w:rPr>
                <w:rFonts w:ascii="Arial" w:cs="Arial" w:eastAsia="Arial" w:hAnsi="Arial"/>
                <w:sz w:val="16"/>
                <w:szCs w:val="16"/>
                <w:color w:val="auto"/>
                <w:w w:val="74"/>
              </w:rPr>
              <w:t>x</w:t>
            </w:r>
          </w:p>
        </w:tc>
      </w:tr>
      <w:tr>
        <w:trPr>
          <w:trHeight w:val="203"/>
        </w:trPr>
        <w:tc>
          <w:tcPr>
            <w:tcW w:w="1720" w:type="dxa"/>
            <w:vAlign w:val="bottom"/>
          </w:tcPr>
          <w:p>
            <w:pPr>
              <w:spacing w:after="0"/>
              <w:rPr>
                <w:sz w:val="20"/>
                <w:szCs w:val="20"/>
                <w:color w:val="auto"/>
              </w:rPr>
            </w:pPr>
            <w:r>
              <w:rPr>
                <w:rFonts w:ascii="Arial" w:cs="Arial" w:eastAsia="Arial" w:hAnsi="Arial"/>
                <w:sz w:val="16"/>
                <w:szCs w:val="16"/>
                <w:color w:val="auto"/>
              </w:rPr>
              <w:t>Non-accelerated filer</w:t>
            </w:r>
          </w:p>
        </w:tc>
        <w:tc>
          <w:tcPr>
            <w:tcW w:w="3320" w:type="dxa"/>
            <w:vAlign w:val="bottom"/>
          </w:tcPr>
          <w:p>
            <w:pPr>
              <w:ind w:left="260"/>
              <w:spacing w:after="0"/>
              <w:rPr>
                <w:sz w:val="20"/>
                <w:szCs w:val="20"/>
                <w:color w:val="auto"/>
              </w:rPr>
            </w:pPr>
            <w:r>
              <w:rPr>
                <w:rFonts w:ascii="Arial" w:cs="Arial" w:eastAsia="Arial" w:hAnsi="Arial"/>
                <w:sz w:val="16"/>
                <w:szCs w:val="16"/>
                <w:color w:val="auto"/>
              </w:rPr>
              <w:t>o</w:t>
            </w:r>
          </w:p>
        </w:tc>
        <w:tc>
          <w:tcPr>
            <w:tcW w:w="5280" w:type="dxa"/>
            <w:vAlign w:val="bottom"/>
          </w:tcPr>
          <w:p>
            <w:pPr>
              <w:ind w:left="2960"/>
              <w:spacing w:after="0"/>
              <w:rPr>
                <w:sz w:val="20"/>
                <w:szCs w:val="20"/>
                <w:color w:val="auto"/>
              </w:rPr>
            </w:pPr>
            <w:r>
              <w:rPr>
                <w:rFonts w:ascii="Arial" w:cs="Arial" w:eastAsia="Arial" w:hAnsi="Arial"/>
                <w:sz w:val="16"/>
                <w:szCs w:val="16"/>
                <w:color w:val="auto"/>
              </w:rPr>
              <w:t>Smaller reporting company</w:t>
            </w:r>
          </w:p>
        </w:tc>
        <w:tc>
          <w:tcPr>
            <w:tcW w:w="600" w:type="dxa"/>
            <w:vAlign w:val="bottom"/>
          </w:tcPr>
          <w:p>
            <w:pPr>
              <w:ind w:left="520"/>
              <w:spacing w:after="0"/>
              <w:rPr>
                <w:sz w:val="20"/>
                <w:szCs w:val="20"/>
                <w:color w:val="auto"/>
              </w:rPr>
            </w:pPr>
            <w:r>
              <w:rPr>
                <w:rFonts w:ascii="Arial" w:cs="Arial" w:eastAsia="Arial" w:hAnsi="Arial"/>
                <w:sz w:val="16"/>
                <w:szCs w:val="16"/>
                <w:color w:val="auto"/>
                <w:w w:val="74"/>
              </w:rPr>
              <w:t>x</w:t>
            </w:r>
          </w:p>
        </w:tc>
      </w:tr>
      <w:tr>
        <w:trPr>
          <w:trHeight w:val="206"/>
        </w:trPr>
        <w:tc>
          <w:tcPr>
            <w:tcW w:w="1720" w:type="dxa"/>
            <w:vAlign w:val="bottom"/>
          </w:tcPr>
          <w:p>
            <w:pPr>
              <w:spacing w:after="0"/>
              <w:rPr>
                <w:sz w:val="17"/>
                <w:szCs w:val="17"/>
                <w:color w:val="auto"/>
              </w:rPr>
            </w:pPr>
          </w:p>
        </w:tc>
        <w:tc>
          <w:tcPr>
            <w:tcW w:w="3320" w:type="dxa"/>
            <w:vAlign w:val="bottom"/>
          </w:tcPr>
          <w:p>
            <w:pPr>
              <w:spacing w:after="0"/>
              <w:rPr>
                <w:sz w:val="17"/>
                <w:szCs w:val="17"/>
                <w:color w:val="auto"/>
              </w:rPr>
            </w:pPr>
          </w:p>
        </w:tc>
        <w:tc>
          <w:tcPr>
            <w:tcW w:w="5280" w:type="dxa"/>
            <w:vAlign w:val="bottom"/>
          </w:tcPr>
          <w:p>
            <w:pPr>
              <w:ind w:left="2960"/>
              <w:spacing w:after="0"/>
              <w:rPr>
                <w:sz w:val="20"/>
                <w:szCs w:val="20"/>
                <w:color w:val="auto"/>
              </w:rPr>
            </w:pPr>
            <w:r>
              <w:rPr>
                <w:rFonts w:ascii="Arial" w:cs="Arial" w:eastAsia="Arial" w:hAnsi="Arial"/>
                <w:sz w:val="16"/>
                <w:szCs w:val="16"/>
                <w:color w:val="auto"/>
              </w:rPr>
              <w:t>Emerging growth company</w:t>
            </w:r>
          </w:p>
        </w:tc>
        <w:tc>
          <w:tcPr>
            <w:tcW w:w="600" w:type="dxa"/>
            <w:vAlign w:val="bottom"/>
          </w:tcPr>
          <w:p>
            <w:pPr>
              <w:ind w:left="520"/>
              <w:spacing w:after="0"/>
              <w:rPr>
                <w:sz w:val="20"/>
                <w:szCs w:val="20"/>
                <w:color w:val="auto"/>
              </w:rPr>
            </w:pPr>
            <w:r>
              <w:rPr>
                <w:rFonts w:ascii="Arial" w:cs="Arial" w:eastAsia="Arial" w:hAnsi="Arial"/>
                <w:sz w:val="16"/>
                <w:szCs w:val="16"/>
                <w:color w:val="auto"/>
                <w:w w:val="74"/>
              </w:rPr>
              <w:t>x</w:t>
            </w:r>
          </w:p>
        </w:tc>
      </w:tr>
    </w:tbl>
    <w:p>
      <w:pPr>
        <w:spacing w:after="0" w:line="199" w:lineRule="exact"/>
        <w:rPr>
          <w:sz w:val="20"/>
          <w:szCs w:val="20"/>
          <w:color w:val="auto"/>
        </w:rPr>
      </w:pPr>
    </w:p>
    <w:p>
      <w:pPr>
        <w:ind w:right="260"/>
        <w:spacing w:after="0" w:line="293" w:lineRule="auto"/>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 or revised financial accounting standards provided pursuant to Section 7(a)(2)(B) of the Securities Act. 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106680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149860</wp:posOffset>
            </wp:positionV>
            <wp:extent cx="713232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379095</wp:posOffset>
            </wp:positionV>
            <wp:extent cx="7153275"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0920"/>
          </w:cols>
          <w:pgMar w:left="320" w:top="332" w:right="659" w:bottom="1440" w:gutter="0" w:footer="0" w:header="0"/>
        </w:sectPr>
      </w:pPr>
    </w:p>
    <w:bookmarkStart w:id="2" w:name="page3"/>
    <w:bookmarkEnd w:id="2"/>
    <w:p>
      <w:pPr>
        <w:jc w:val="center"/>
        <w:ind w:right="-139"/>
        <w:spacing w:after="0"/>
        <w:rPr>
          <w:sz w:val="20"/>
          <w:szCs w:val="20"/>
          <w:color w:val="auto"/>
        </w:rPr>
      </w:pPr>
      <w:r>
        <w:rPr>
          <w:rFonts w:ascii="Arial" w:cs="Arial" w:eastAsia="Arial" w:hAnsi="Arial"/>
          <w:sz w:val="18"/>
          <w:szCs w:val="18"/>
          <w:b w:val="1"/>
          <w:bCs w:val="1"/>
          <w:color w:val="auto"/>
        </w:rPr>
        <w:t>Explanatory Note</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DEREGISTRATION OF SECURITIES</w:t>
      </w:r>
    </w:p>
    <w:p>
      <w:pPr>
        <w:spacing w:after="0" w:line="229" w:lineRule="exact"/>
        <w:rPr>
          <w:sz w:val="20"/>
          <w:szCs w:val="20"/>
          <w:color w:val="auto"/>
        </w:rPr>
      </w:pPr>
    </w:p>
    <w:p>
      <w:pPr>
        <w:ind w:right="760" w:firstLine="648"/>
        <w:spacing w:after="0" w:line="277" w:lineRule="auto"/>
        <w:rPr>
          <w:sz w:val="20"/>
          <w:szCs w:val="20"/>
          <w:color w:val="auto"/>
        </w:rPr>
      </w:pPr>
      <w:r>
        <w:rPr>
          <w:rFonts w:ascii="Arial" w:cs="Arial" w:eastAsia="Arial" w:hAnsi="Arial"/>
          <w:sz w:val="18"/>
          <w:szCs w:val="18"/>
          <w:color w:val="auto"/>
        </w:rPr>
        <w:t>This post-effective amendment relates to the following Registration Statement of Forty Seven, Inc. (the “Company”) on Form S-3 (the “Registration Statement”):</w:t>
      </w:r>
    </w:p>
    <w:p>
      <w:pPr>
        <w:spacing w:after="0" w:line="170" w:lineRule="exact"/>
        <w:rPr>
          <w:sz w:val="20"/>
          <w:szCs w:val="20"/>
          <w:color w:val="auto"/>
        </w:rPr>
      </w:pPr>
    </w:p>
    <w:p>
      <w:pPr>
        <w:ind w:left="1300" w:hanging="320"/>
        <w:spacing w:after="0" w:line="257" w:lineRule="auto"/>
        <w:tabs>
          <w:tab w:leader="none" w:pos="1264" w:val="left"/>
        </w:tabs>
        <w:numPr>
          <w:ilvl w:val="0"/>
          <w:numId w:val="1"/>
        </w:numPr>
        <w:rPr>
          <w:rFonts w:ascii="Arial" w:cs="Arial" w:eastAsia="Arial" w:hAnsi="Arial"/>
          <w:sz w:val="18"/>
          <w:szCs w:val="18"/>
          <w:color w:val="auto"/>
        </w:rPr>
      </w:pPr>
      <w:r>
        <w:rPr>
          <w:rFonts w:ascii="Arial" w:cs="Arial" w:eastAsia="Arial" w:hAnsi="Arial"/>
          <w:sz w:val="18"/>
          <w:szCs w:val="18"/>
          <w:color w:val="auto"/>
        </w:rPr>
        <w:t>Registration Statement on Form S-3 (File No. 333-235877), filed with the Securities and Exchange Commission on January 10, 2020, registering an indeterminate number of shares of common stock of the Company, par value $0.0001 per share (“Common Stock), preferred stock of the Company, par value $0.0001 per share (“Preferred Stock”), debt securities of the Company (“Debt Securities”), warrants to purchase Common Stock, Preferred Stock or Debt Securities (“Warrants”), or any combination of Common Stock, Preferred Stock, Debt Securities or Warrants.</w:t>
      </w:r>
    </w:p>
    <w:p>
      <w:pPr>
        <w:spacing w:after="0" w:line="188" w:lineRule="exact"/>
        <w:rPr>
          <w:sz w:val="20"/>
          <w:szCs w:val="20"/>
          <w:color w:val="auto"/>
        </w:rPr>
      </w:pPr>
    </w:p>
    <w:p>
      <w:pPr>
        <w:ind w:right="560" w:firstLine="648"/>
        <w:spacing w:after="0" w:line="311" w:lineRule="auto"/>
        <w:rPr>
          <w:sz w:val="20"/>
          <w:szCs w:val="20"/>
          <w:color w:val="auto"/>
        </w:rPr>
      </w:pPr>
      <w:r>
        <w:rPr>
          <w:rFonts w:ascii="Arial" w:cs="Arial" w:eastAsia="Arial" w:hAnsi="Arial"/>
          <w:sz w:val="16"/>
          <w:szCs w:val="16"/>
          <w:color w:val="auto"/>
        </w:rPr>
        <w:t>On April 7, 2020, pursuant to that certain Agreement and Plan of Merger, dated as of March 1, 2020, by and among the Company, Gilead Sciences, Inc., a Delaware corporation (“Parent”), and Toro Merger Sub, Inc., a Delaware corporation and a wholly-owned subsidiary of Parent (“Purchaser”), Purchaser merged with and into the Company, with the Company surviving as a wholly owned subsidiary of Parent (the “Merger”).</w:t>
      </w:r>
    </w:p>
    <w:p>
      <w:pPr>
        <w:spacing w:after="0" w:line="149" w:lineRule="exact"/>
        <w:rPr>
          <w:sz w:val="20"/>
          <w:szCs w:val="20"/>
          <w:color w:val="auto"/>
        </w:rPr>
      </w:pPr>
    </w:p>
    <w:p>
      <w:pPr>
        <w:ind w:right="60" w:firstLine="648"/>
        <w:spacing w:after="0" w:line="286" w:lineRule="auto"/>
        <w:rPr>
          <w:sz w:val="20"/>
          <w:szCs w:val="20"/>
          <w:color w:val="auto"/>
        </w:rPr>
      </w:pPr>
      <w:r>
        <w:rPr>
          <w:rFonts w:ascii="Arial" w:cs="Arial" w:eastAsia="Arial" w:hAnsi="Arial"/>
          <w:sz w:val="17"/>
          <w:szCs w:val="17"/>
          <w:color w:val="auto"/>
        </w:rPr>
        <w:t>As a result of the Merger, by filing this post-effective amendment, the Company has terminated any and all offerings of its securities pursuant to the Registration Statement. Accordingly, the Company hereby terminates the effectiveness of the Registration Statement and removes from registration any and all securities of the Company registered but unsold under the Registration Statement as of the date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180340</wp:posOffset>
            </wp:positionV>
            <wp:extent cx="71532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100"/>
          </w:cols>
          <w:pgMar w:left="320" w:top="337" w:right="479" w:bottom="1440" w:gutter="0" w:footer="0" w:header="0"/>
        </w:sectPr>
      </w:pPr>
    </w:p>
    <w:bookmarkStart w:id="3" w:name="page4"/>
    <w:bookmarkEnd w:id="3"/>
    <w:p>
      <w:pPr>
        <w:jc w:val="center"/>
        <w:ind w:right="-1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Pursuant to the requirements of the Securities Act of 1933, as amended, the Registrant certifies that it has reasonable grounds to believe that it meets all of the requirements for filing on Form S-3 and has duly caused this post-effective amendment to be signed on its behalf by the undersigned, thereunto duly authorized, in the City of Foster City, State of California, on April 7, 2020.</w:t>
      </w:r>
    </w:p>
    <w:p>
      <w:pPr>
        <w:spacing w:after="0" w:line="184"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FORTY SEVEN, INC.</w:t>
      </w:r>
    </w:p>
    <w:p>
      <w:pPr>
        <w:spacing w:after="0" w:line="225" w:lineRule="exact"/>
        <w:rPr>
          <w:sz w:val="20"/>
          <w:szCs w:val="20"/>
          <w:color w:val="auto"/>
        </w:rPr>
      </w:pPr>
    </w:p>
    <w:p>
      <w:pPr>
        <w:ind w:left="5640"/>
        <w:spacing w:after="0"/>
        <w:tabs>
          <w:tab w:leader="none" w:pos="6100" w:val="left"/>
        </w:tabs>
        <w:rPr>
          <w:sz w:val="20"/>
          <w:szCs w:val="20"/>
          <w:color w:val="auto"/>
        </w:rPr>
      </w:pPr>
      <w:r>
        <w:rPr>
          <w:rFonts w:ascii="Arial" w:cs="Arial" w:eastAsia="Arial" w:hAnsi="Arial"/>
          <w:sz w:val="18"/>
          <w:szCs w:val="18"/>
          <w:color w:val="auto"/>
        </w:rPr>
        <w:t>By:</w:t>
        <w:tab/>
        <w:t>/s/ Brett A. Pletcher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3879850</wp:posOffset>
            </wp:positionH>
            <wp:positionV relativeFrom="paragraph">
              <wp:posOffset>14605</wp:posOffset>
            </wp:positionV>
            <wp:extent cx="325755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257550" cy="8255"/>
                    </a:xfrm>
                    <a:prstGeom prst="rect">
                      <a:avLst/>
                    </a:prstGeom>
                    <a:noFill/>
                  </pic:spPr>
                </pic:pic>
              </a:graphicData>
            </a:graphic>
          </wp:anchor>
        </w:drawing>
      </w:r>
    </w:p>
    <w:p>
      <w:pPr>
        <w:spacing w:after="0" w:line="3" w:lineRule="exact"/>
        <w:rPr>
          <w:sz w:val="20"/>
          <w:szCs w:val="20"/>
          <w:color w:val="auto"/>
        </w:rPr>
      </w:pPr>
    </w:p>
    <w:p>
      <w:pPr>
        <w:ind w:left="6120"/>
        <w:spacing w:after="0"/>
        <w:tabs>
          <w:tab w:leader="none" w:pos="674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Brett A. Pletcher</w:t>
      </w:r>
    </w:p>
    <w:p>
      <w:pPr>
        <w:spacing w:after="0" w:line="23" w:lineRule="exact"/>
        <w:rPr>
          <w:sz w:val="20"/>
          <w:szCs w:val="20"/>
          <w:color w:val="auto"/>
        </w:rPr>
      </w:pPr>
    </w:p>
    <w:p>
      <w:pPr>
        <w:ind w:left="6120"/>
        <w:spacing w:after="0"/>
        <w:tabs>
          <w:tab w:leader="none" w:pos="6740" w:val="left"/>
        </w:tabs>
        <w:rPr>
          <w:sz w:val="20"/>
          <w:szCs w:val="20"/>
          <w:color w:val="auto"/>
        </w:rPr>
      </w:pPr>
      <w:r>
        <w:rPr>
          <w:rFonts w:ascii="Arial" w:cs="Arial" w:eastAsia="Arial" w:hAnsi="Arial"/>
          <w:sz w:val="18"/>
          <w:szCs w:val="18"/>
          <w:color w:val="auto"/>
        </w:rPr>
        <w:t>Title:</w:t>
        <w:tab/>
        <w:t>Secretary and Director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 other person is required to sign this Post-Effective Amendment in reliance upon Rule 478 under the Securities Act of 1933,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1532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sectPr>
      <w:pgSz w:w="11900" w:h="16838" w:orient="portrait"/>
      <w:cols w:equalWidth="0" w:num="1">
        <w:col w:w="11120"/>
      </w:cols>
      <w:pgMar w:left="320" w:top="337"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2020-04-07T07:48:50Z</dcterms:created>
  <dcterms:modified xsi:type="dcterms:W3CDTF">2020-04-07T07:48:50Z</dcterms:modified>
</cp:coreProperties>
</file>