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U.S. Securities and Exchange Commission on June 18, 2018</w:t>
      </w:r>
    </w:p>
    <w:p>
      <w:pPr>
        <w:spacing w:after="0" w:line="4"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333-225390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56515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109855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Amendment No. 2</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REGISTRATION STATEMENT</w:t>
      </w:r>
    </w:p>
    <w:p>
      <w:pPr>
        <w:spacing w:after="0" w:line="8"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UNDER</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109855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9"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F</w:t>
      </w:r>
      <w:r>
        <w:rPr>
          <w:rFonts w:ascii="Arial" w:cs="Arial" w:eastAsia="Arial" w:hAnsi="Arial"/>
          <w:sz w:val="30"/>
          <w:szCs w:val="30"/>
          <w:b w:val="1"/>
          <w:bCs w:val="1"/>
          <w:color w:val="auto"/>
        </w:rPr>
        <w:t>ORTY</w:t>
      </w:r>
      <w:r>
        <w:rPr>
          <w:rFonts w:ascii="Arial" w:cs="Arial" w:eastAsia="Arial" w:hAnsi="Arial"/>
          <w:sz w:val="36"/>
          <w:szCs w:val="36"/>
          <w:b w:val="1"/>
          <w:bCs w:val="1"/>
          <w:color w:val="auto"/>
        </w:rPr>
        <w:t xml:space="preserve"> S</w:t>
      </w:r>
      <w:r>
        <w:rPr>
          <w:rFonts w:ascii="Arial" w:cs="Arial" w:eastAsia="Arial" w:hAnsi="Arial"/>
          <w:sz w:val="30"/>
          <w:szCs w:val="30"/>
          <w:b w:val="1"/>
          <w:bCs w:val="1"/>
          <w:color w:val="auto"/>
        </w:rPr>
        <w:t>EVEN</w:t>
      </w:r>
      <w:r>
        <w:rPr>
          <w:rFonts w:ascii="Arial" w:cs="Arial" w:eastAsia="Arial" w:hAnsi="Arial"/>
          <w:sz w:val="36"/>
          <w:szCs w:val="36"/>
          <w:b w:val="1"/>
          <w:bCs w:val="1"/>
          <w:color w:val="auto"/>
        </w:rPr>
        <w:t>, I</w:t>
      </w:r>
      <w:r>
        <w:rPr>
          <w:rFonts w:ascii="Arial" w:cs="Arial" w:eastAsia="Arial" w:hAnsi="Arial"/>
          <w:sz w:val="30"/>
          <w:szCs w:val="30"/>
          <w:b w:val="1"/>
          <w:bCs w:val="1"/>
          <w:color w:val="auto"/>
        </w:rPr>
        <w:t>NC</w:t>
      </w:r>
      <w:r>
        <w:rPr>
          <w:rFonts w:ascii="Arial" w:cs="Arial" w:eastAsia="Arial" w:hAnsi="Arial"/>
          <w:sz w:val="36"/>
          <w:szCs w:val="36"/>
          <w:b w:val="1"/>
          <w:bCs w:val="1"/>
          <w:color w:val="auto"/>
        </w:rPr>
        <w:t>.</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4" w:lineRule="exact"/>
        <w:rPr>
          <w:sz w:val="24"/>
          <w:szCs w:val="24"/>
          <w:color w:val="auto"/>
        </w:rPr>
      </w:pPr>
    </w:p>
    <w:tbl>
      <w:tblPr>
        <w:tblLayout w:type="fixed"/>
        <w:tblInd w:w="1180" w:type="dxa"/>
        <w:tblCellMar>
          <w:top w:w="0" w:type="dxa"/>
          <w:left w:w="0" w:type="dxa"/>
          <w:bottom w:w="0" w:type="dxa"/>
          <w:right w:w="0" w:type="dxa"/>
        </w:tblCellMar>
      </w:tblPr>
      <w:tr>
        <w:trPr>
          <w:trHeight w:val="198"/>
        </w:trPr>
        <w:tc>
          <w:tcPr>
            <w:tcW w:w="2800" w:type="dxa"/>
            <w:vAlign w:val="bottom"/>
          </w:tcPr>
          <w:p>
            <w:pPr>
              <w:jc w:val="center"/>
              <w:ind w:right="945"/>
              <w:spacing w:after="0"/>
              <w:rPr>
                <w:sz w:val="20"/>
                <w:szCs w:val="20"/>
                <w:color w:val="auto"/>
              </w:rPr>
            </w:pPr>
            <w:r>
              <w:rPr>
                <w:rFonts w:ascii="Arial" w:cs="Arial" w:eastAsia="Arial" w:hAnsi="Arial"/>
                <w:sz w:val="16"/>
                <w:szCs w:val="16"/>
                <w:b w:val="1"/>
                <w:bCs w:val="1"/>
                <w:color w:val="auto"/>
                <w:w w:val="93"/>
              </w:rPr>
              <w:t>Delaware</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w w:val="95"/>
              </w:rPr>
              <w:t>2834</w:t>
            </w:r>
          </w:p>
        </w:tc>
        <w:tc>
          <w:tcPr>
            <w:tcW w:w="2380" w:type="dxa"/>
            <w:vAlign w:val="bottom"/>
          </w:tcPr>
          <w:p>
            <w:pPr>
              <w:jc w:val="center"/>
              <w:ind w:left="1005"/>
              <w:spacing w:after="0"/>
              <w:rPr>
                <w:sz w:val="20"/>
                <w:szCs w:val="20"/>
                <w:color w:val="auto"/>
              </w:rPr>
            </w:pPr>
            <w:r>
              <w:rPr>
                <w:rFonts w:ascii="Arial" w:cs="Arial" w:eastAsia="Arial" w:hAnsi="Arial"/>
                <w:sz w:val="16"/>
                <w:szCs w:val="16"/>
                <w:b w:val="1"/>
                <w:bCs w:val="1"/>
                <w:color w:val="auto"/>
                <w:w w:val="91"/>
              </w:rPr>
              <w:t>47-4065674</w:t>
            </w:r>
          </w:p>
        </w:tc>
      </w:tr>
      <w:tr>
        <w:trPr>
          <w:trHeight w:val="149"/>
        </w:trPr>
        <w:tc>
          <w:tcPr>
            <w:tcW w:w="2800" w:type="dxa"/>
            <w:vAlign w:val="bottom"/>
          </w:tcPr>
          <w:p>
            <w:pPr>
              <w:jc w:val="center"/>
              <w:ind w:right="925"/>
              <w:spacing w:after="0" w:line="149" w:lineRule="exact"/>
              <w:rPr>
                <w:sz w:val="20"/>
                <w:szCs w:val="20"/>
                <w:color w:val="auto"/>
              </w:rPr>
            </w:pPr>
            <w:r>
              <w:rPr>
                <w:rFonts w:ascii="Arial" w:cs="Arial" w:eastAsia="Arial" w:hAnsi="Arial"/>
                <w:sz w:val="14"/>
                <w:szCs w:val="14"/>
                <w:color w:val="auto"/>
                <w:w w:val="94"/>
              </w:rPr>
              <w:t>(State or Other Jurisdiction of</w:t>
            </w:r>
          </w:p>
        </w:tc>
        <w:tc>
          <w:tcPr>
            <w:tcW w:w="3760" w:type="dxa"/>
            <w:vAlign w:val="bottom"/>
          </w:tcPr>
          <w:p>
            <w:pPr>
              <w:jc w:val="center"/>
              <w:spacing w:after="0" w:line="149" w:lineRule="exact"/>
              <w:rPr>
                <w:sz w:val="20"/>
                <w:szCs w:val="20"/>
                <w:color w:val="auto"/>
              </w:rPr>
            </w:pPr>
            <w:r>
              <w:rPr>
                <w:rFonts w:ascii="Arial" w:cs="Arial" w:eastAsia="Arial" w:hAnsi="Arial"/>
                <w:sz w:val="14"/>
                <w:szCs w:val="14"/>
                <w:color w:val="auto"/>
                <w:w w:val="95"/>
              </w:rPr>
              <w:t>(Primary Standard Industrial</w:t>
            </w:r>
          </w:p>
        </w:tc>
        <w:tc>
          <w:tcPr>
            <w:tcW w:w="2380" w:type="dxa"/>
            <w:vAlign w:val="bottom"/>
          </w:tcPr>
          <w:p>
            <w:pPr>
              <w:jc w:val="center"/>
              <w:ind w:left="1005"/>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00" w:type="dxa"/>
            <w:vAlign w:val="bottom"/>
          </w:tcPr>
          <w:p>
            <w:pPr>
              <w:jc w:val="center"/>
              <w:ind w:right="945"/>
              <w:spacing w:after="0"/>
              <w:rPr>
                <w:sz w:val="20"/>
                <w:szCs w:val="20"/>
                <w:color w:val="auto"/>
              </w:rPr>
            </w:pPr>
            <w:r>
              <w:rPr>
                <w:rFonts w:ascii="Arial" w:cs="Arial" w:eastAsia="Arial" w:hAnsi="Arial"/>
                <w:sz w:val="14"/>
                <w:szCs w:val="14"/>
                <w:color w:val="auto"/>
                <w:w w:val="95"/>
              </w:rPr>
              <w:t>Incorporation or Organization)</w:t>
            </w:r>
          </w:p>
        </w:tc>
        <w:tc>
          <w:tcPr>
            <w:tcW w:w="3760" w:type="dxa"/>
            <w:vAlign w:val="bottom"/>
          </w:tcPr>
          <w:p>
            <w:pPr>
              <w:jc w:val="center"/>
              <w:spacing w:after="0"/>
              <w:rPr>
                <w:sz w:val="20"/>
                <w:szCs w:val="20"/>
                <w:color w:val="auto"/>
              </w:rPr>
            </w:pPr>
            <w:r>
              <w:rPr>
                <w:rFonts w:ascii="Arial" w:cs="Arial" w:eastAsia="Arial" w:hAnsi="Arial"/>
                <w:sz w:val="14"/>
                <w:szCs w:val="14"/>
                <w:color w:val="auto"/>
                <w:w w:val="95"/>
              </w:rPr>
              <w:t>Classification Code Number)</w:t>
            </w:r>
          </w:p>
        </w:tc>
        <w:tc>
          <w:tcPr>
            <w:tcW w:w="2380" w:type="dxa"/>
            <w:vAlign w:val="bottom"/>
          </w:tcPr>
          <w:p>
            <w:pPr>
              <w:jc w:val="center"/>
              <w:ind w:left="985"/>
              <w:spacing w:after="0"/>
              <w:rPr>
                <w:sz w:val="20"/>
                <w:szCs w:val="20"/>
                <w:color w:val="auto"/>
              </w:rPr>
            </w:pPr>
            <w:r>
              <w:rPr>
                <w:rFonts w:ascii="Arial" w:cs="Arial" w:eastAsia="Arial" w:hAnsi="Arial"/>
                <w:sz w:val="14"/>
                <w:szCs w:val="14"/>
                <w:color w:val="auto"/>
                <w:w w:val="96"/>
              </w:rPr>
              <w:t>Identification Number)</w:t>
            </w:r>
          </w:p>
        </w:tc>
      </w:tr>
    </w:tbl>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Forty Seven, Inc.</w:t>
      </w:r>
    </w:p>
    <w:p>
      <w:pPr>
        <w:jc w:val="center"/>
        <w:ind w:right="-179"/>
        <w:spacing w:after="0" w:line="226" w:lineRule="auto"/>
        <w:rPr>
          <w:sz w:val="20"/>
          <w:szCs w:val="20"/>
          <w:color w:val="auto"/>
        </w:rPr>
      </w:pPr>
      <w:r>
        <w:rPr>
          <w:rFonts w:ascii="Arial" w:cs="Arial" w:eastAsia="Arial" w:hAnsi="Arial"/>
          <w:sz w:val="14"/>
          <w:szCs w:val="14"/>
          <w:b w:val="1"/>
          <w:bCs w:val="1"/>
          <w:color w:val="auto"/>
        </w:rPr>
        <w:t>1490 O’Brien Drive, Suite A</w:t>
      </w:r>
    </w:p>
    <w:p>
      <w:pPr>
        <w:jc w:val="center"/>
        <w:ind w:right="-179"/>
        <w:spacing w:after="0" w:line="222" w:lineRule="auto"/>
        <w:rPr>
          <w:sz w:val="20"/>
          <w:szCs w:val="20"/>
          <w:color w:val="auto"/>
        </w:rPr>
      </w:pPr>
      <w:r>
        <w:rPr>
          <w:rFonts w:ascii="Arial" w:cs="Arial" w:eastAsia="Arial" w:hAnsi="Arial"/>
          <w:sz w:val="14"/>
          <w:szCs w:val="14"/>
          <w:b w:val="1"/>
          <w:bCs w:val="1"/>
          <w:color w:val="auto"/>
        </w:rPr>
        <w:t>Menlo Park, California 94025</w:t>
      </w:r>
    </w:p>
    <w:p>
      <w:pPr>
        <w:jc w:val="center"/>
        <w:ind w:right="-179"/>
        <w:spacing w:after="0" w:line="221" w:lineRule="auto"/>
        <w:rPr>
          <w:sz w:val="20"/>
          <w:szCs w:val="20"/>
          <w:color w:val="auto"/>
        </w:rPr>
      </w:pPr>
      <w:r>
        <w:rPr>
          <w:rFonts w:ascii="Arial" w:cs="Arial" w:eastAsia="Arial" w:hAnsi="Arial"/>
          <w:sz w:val="14"/>
          <w:szCs w:val="14"/>
          <w:b w:val="1"/>
          <w:bCs w:val="1"/>
          <w:color w:val="auto"/>
        </w:rPr>
        <w:t>(650) 352-4150</w:t>
      </w: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Mark A. McCamish, M.D., Ph.D.</w:t>
      </w:r>
    </w:p>
    <w:p>
      <w:pPr>
        <w:jc w:val="center"/>
        <w:ind w:right="-17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Forty Seven, Inc.</w:t>
      </w:r>
    </w:p>
    <w:p>
      <w:pPr>
        <w:jc w:val="center"/>
        <w:ind w:right="-179"/>
        <w:spacing w:after="0" w:line="221" w:lineRule="auto"/>
        <w:rPr>
          <w:sz w:val="20"/>
          <w:szCs w:val="20"/>
          <w:color w:val="auto"/>
        </w:rPr>
      </w:pPr>
      <w:r>
        <w:rPr>
          <w:rFonts w:ascii="Arial" w:cs="Arial" w:eastAsia="Arial" w:hAnsi="Arial"/>
          <w:sz w:val="14"/>
          <w:szCs w:val="14"/>
          <w:b w:val="1"/>
          <w:bCs w:val="1"/>
          <w:color w:val="auto"/>
        </w:rPr>
        <w:t>1490 O’Brien Drive, Suite A</w:t>
      </w:r>
    </w:p>
    <w:p>
      <w:pPr>
        <w:jc w:val="center"/>
        <w:ind w:right="-179"/>
        <w:spacing w:after="0" w:line="222" w:lineRule="auto"/>
        <w:rPr>
          <w:sz w:val="20"/>
          <w:szCs w:val="20"/>
          <w:color w:val="auto"/>
        </w:rPr>
      </w:pPr>
      <w:r>
        <w:rPr>
          <w:rFonts w:ascii="Arial" w:cs="Arial" w:eastAsia="Arial" w:hAnsi="Arial"/>
          <w:sz w:val="14"/>
          <w:szCs w:val="14"/>
          <w:b w:val="1"/>
          <w:bCs w:val="1"/>
          <w:color w:val="auto"/>
        </w:rPr>
        <w:t>Menlo Park, California 94025</w:t>
      </w:r>
    </w:p>
    <w:p>
      <w:pPr>
        <w:jc w:val="center"/>
        <w:ind w:right="-179"/>
        <w:spacing w:after="0" w:line="221" w:lineRule="auto"/>
        <w:rPr>
          <w:sz w:val="20"/>
          <w:szCs w:val="20"/>
          <w:color w:val="auto"/>
        </w:rPr>
      </w:pPr>
      <w:r>
        <w:rPr>
          <w:rFonts w:ascii="Arial" w:cs="Arial" w:eastAsia="Arial" w:hAnsi="Arial"/>
          <w:sz w:val="14"/>
          <w:szCs w:val="14"/>
          <w:b w:val="1"/>
          <w:bCs w:val="1"/>
          <w:color w:val="auto"/>
        </w:rPr>
        <w:t>(650) 352-4150</w:t>
      </w:r>
    </w:p>
    <w:p>
      <w:pPr>
        <w:jc w:val="center"/>
        <w:ind w:right="-1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7" w:lineRule="exact"/>
        <w:rPr>
          <w:sz w:val="24"/>
          <w:szCs w:val="24"/>
          <w:color w:val="auto"/>
        </w:rPr>
      </w:pPr>
    </w:p>
    <w:tbl>
      <w:tblPr>
        <w:tblLayout w:type="fixed"/>
        <w:tblInd w:w="2160" w:type="dxa"/>
        <w:tblCellMar>
          <w:top w:w="0" w:type="dxa"/>
          <w:left w:w="0" w:type="dxa"/>
          <w:bottom w:w="0" w:type="dxa"/>
          <w:right w:w="0" w:type="dxa"/>
        </w:tblCellMar>
      </w:tblPr>
      <w:tr>
        <w:trPr>
          <w:trHeight w:val="206"/>
        </w:trPr>
        <w:tc>
          <w:tcPr>
            <w:tcW w:w="2440" w:type="dxa"/>
            <w:vAlign w:val="bottom"/>
          </w:tcPr>
          <w:p>
            <w:pPr>
              <w:spacing w:after="0"/>
              <w:rPr>
                <w:sz w:val="17"/>
                <w:szCs w:val="17"/>
                <w:color w:val="auto"/>
              </w:rPr>
            </w:pPr>
          </w:p>
        </w:tc>
        <w:tc>
          <w:tcPr>
            <w:tcW w:w="4860" w:type="dxa"/>
            <w:vAlign w:val="bottom"/>
          </w:tcPr>
          <w:p>
            <w:pPr>
              <w:ind w:left="780"/>
              <w:spacing w:after="0"/>
              <w:rPr>
                <w:sz w:val="20"/>
                <w:szCs w:val="20"/>
                <w:color w:val="auto"/>
              </w:rPr>
            </w:pPr>
            <w:r>
              <w:rPr>
                <w:rFonts w:ascii="Arial" w:cs="Arial" w:eastAsia="Arial" w:hAnsi="Arial"/>
                <w:sz w:val="16"/>
                <w:szCs w:val="16"/>
                <w:b w:val="1"/>
                <w:bCs w:val="1"/>
                <w:i w:val="1"/>
                <w:iCs w:val="1"/>
                <w:color w:val="auto"/>
              </w:rPr>
              <w:t>Copies to:</w:t>
            </w:r>
          </w:p>
        </w:tc>
      </w:tr>
      <w:tr>
        <w:trPr>
          <w:trHeight w:val="172"/>
        </w:trPr>
        <w:tc>
          <w:tcPr>
            <w:tcW w:w="2440" w:type="dxa"/>
            <w:vAlign w:val="bottom"/>
          </w:tcPr>
          <w:p>
            <w:pPr>
              <w:jc w:val="center"/>
              <w:ind w:right="708"/>
              <w:spacing w:after="0"/>
              <w:rPr>
                <w:sz w:val="20"/>
                <w:szCs w:val="20"/>
                <w:color w:val="auto"/>
              </w:rPr>
            </w:pPr>
            <w:r>
              <w:rPr>
                <w:rFonts w:ascii="Arial" w:cs="Arial" w:eastAsia="Arial" w:hAnsi="Arial"/>
                <w:sz w:val="14"/>
                <w:szCs w:val="14"/>
                <w:b w:val="1"/>
                <w:bCs w:val="1"/>
                <w:color w:val="auto"/>
                <w:w w:val="93"/>
              </w:rPr>
              <w:t>Eric C. Jensen</w:t>
            </w:r>
          </w:p>
        </w:tc>
        <w:tc>
          <w:tcPr>
            <w:tcW w:w="4860" w:type="dxa"/>
            <w:vAlign w:val="bottom"/>
          </w:tcPr>
          <w:p>
            <w:pPr>
              <w:jc w:val="center"/>
              <w:ind w:left="2967"/>
              <w:spacing w:after="0"/>
              <w:rPr>
                <w:sz w:val="20"/>
                <w:szCs w:val="20"/>
                <w:color w:val="auto"/>
              </w:rPr>
            </w:pPr>
            <w:r>
              <w:rPr>
                <w:rFonts w:ascii="Arial" w:cs="Arial" w:eastAsia="Arial" w:hAnsi="Arial"/>
                <w:sz w:val="14"/>
                <w:szCs w:val="14"/>
                <w:b w:val="1"/>
                <w:bCs w:val="1"/>
                <w:color w:val="auto"/>
                <w:w w:val="95"/>
              </w:rPr>
              <w:t>Bruce K. Dallas</w:t>
            </w:r>
          </w:p>
        </w:tc>
      </w:tr>
      <w:tr>
        <w:trPr>
          <w:trHeight w:val="149"/>
        </w:trPr>
        <w:tc>
          <w:tcPr>
            <w:tcW w:w="244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4"/>
              </w:rPr>
              <w:t>John T. McKenna</w:t>
            </w:r>
          </w:p>
        </w:tc>
        <w:tc>
          <w:tcPr>
            <w:tcW w:w="4860" w:type="dxa"/>
            <w:vAlign w:val="bottom"/>
          </w:tcPr>
          <w:p>
            <w:pPr>
              <w:jc w:val="center"/>
              <w:ind w:left="2967"/>
              <w:spacing w:after="0" w:line="149" w:lineRule="exact"/>
              <w:rPr>
                <w:sz w:val="20"/>
                <w:szCs w:val="20"/>
                <w:color w:val="auto"/>
              </w:rPr>
            </w:pPr>
            <w:r>
              <w:rPr>
                <w:rFonts w:ascii="Arial" w:cs="Arial" w:eastAsia="Arial" w:hAnsi="Arial"/>
                <w:sz w:val="14"/>
                <w:szCs w:val="14"/>
                <w:b w:val="1"/>
                <w:bCs w:val="1"/>
                <w:color w:val="auto"/>
                <w:w w:val="94"/>
              </w:rPr>
              <w:t>Sarah K. Solum</w:t>
            </w:r>
          </w:p>
        </w:tc>
      </w:tr>
      <w:tr>
        <w:trPr>
          <w:trHeight w:val="149"/>
        </w:trPr>
        <w:tc>
          <w:tcPr>
            <w:tcW w:w="244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3"/>
              </w:rPr>
              <w:t>Ryan M. Spiers</w:t>
            </w:r>
          </w:p>
        </w:tc>
        <w:tc>
          <w:tcPr>
            <w:tcW w:w="4860" w:type="dxa"/>
            <w:vAlign w:val="bottom"/>
          </w:tcPr>
          <w:p>
            <w:pPr>
              <w:jc w:val="center"/>
              <w:ind w:left="2967"/>
              <w:spacing w:after="0" w:line="149" w:lineRule="exact"/>
              <w:rPr>
                <w:sz w:val="20"/>
                <w:szCs w:val="20"/>
                <w:color w:val="auto"/>
              </w:rPr>
            </w:pPr>
            <w:r>
              <w:rPr>
                <w:rFonts w:ascii="Arial" w:cs="Arial" w:eastAsia="Arial" w:hAnsi="Arial"/>
                <w:sz w:val="14"/>
                <w:szCs w:val="14"/>
                <w:b w:val="1"/>
                <w:bCs w:val="1"/>
                <w:color w:val="auto"/>
                <w:w w:val="98"/>
              </w:rPr>
              <w:t>Davis Polk &amp; Wardwell LLP</w:t>
            </w:r>
          </w:p>
        </w:tc>
      </w:tr>
      <w:tr>
        <w:trPr>
          <w:trHeight w:val="149"/>
        </w:trPr>
        <w:tc>
          <w:tcPr>
            <w:tcW w:w="244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860" w:type="dxa"/>
            <w:vAlign w:val="bottom"/>
          </w:tcPr>
          <w:p>
            <w:pPr>
              <w:jc w:val="center"/>
              <w:ind w:left="2967"/>
              <w:spacing w:after="0" w:line="149" w:lineRule="exact"/>
              <w:rPr>
                <w:sz w:val="20"/>
                <w:szCs w:val="20"/>
                <w:color w:val="auto"/>
              </w:rPr>
            </w:pPr>
            <w:r>
              <w:rPr>
                <w:rFonts w:ascii="Arial" w:cs="Arial" w:eastAsia="Arial" w:hAnsi="Arial"/>
                <w:sz w:val="14"/>
                <w:szCs w:val="14"/>
                <w:b w:val="1"/>
                <w:bCs w:val="1"/>
                <w:color w:val="auto"/>
                <w:w w:val="94"/>
              </w:rPr>
              <w:t>1600 El Camino Real</w:t>
            </w:r>
          </w:p>
        </w:tc>
      </w:tr>
      <w:tr>
        <w:trPr>
          <w:trHeight w:val="149"/>
        </w:trPr>
        <w:tc>
          <w:tcPr>
            <w:tcW w:w="244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4860" w:type="dxa"/>
            <w:vAlign w:val="bottom"/>
          </w:tcPr>
          <w:p>
            <w:pPr>
              <w:jc w:val="center"/>
              <w:ind w:left="2967"/>
              <w:spacing w:after="0" w:line="149" w:lineRule="exact"/>
              <w:rPr>
                <w:sz w:val="20"/>
                <w:szCs w:val="20"/>
                <w:color w:val="auto"/>
              </w:rPr>
            </w:pPr>
            <w:r>
              <w:rPr>
                <w:rFonts w:ascii="Arial" w:cs="Arial" w:eastAsia="Arial" w:hAnsi="Arial"/>
                <w:sz w:val="14"/>
                <w:szCs w:val="14"/>
                <w:b w:val="1"/>
                <w:bCs w:val="1"/>
                <w:color w:val="auto"/>
                <w:w w:val="95"/>
              </w:rPr>
              <w:t>Menlo Park, California 94025</w:t>
            </w:r>
          </w:p>
        </w:tc>
      </w:tr>
      <w:tr>
        <w:trPr>
          <w:trHeight w:val="149"/>
        </w:trPr>
        <w:tc>
          <w:tcPr>
            <w:tcW w:w="244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4860" w:type="dxa"/>
            <w:vAlign w:val="bottom"/>
          </w:tcPr>
          <w:p>
            <w:pPr>
              <w:jc w:val="center"/>
              <w:ind w:left="2967"/>
              <w:spacing w:after="0" w:line="149" w:lineRule="exact"/>
              <w:rPr>
                <w:sz w:val="20"/>
                <w:szCs w:val="20"/>
                <w:color w:val="auto"/>
              </w:rPr>
            </w:pPr>
            <w:r>
              <w:rPr>
                <w:rFonts w:ascii="Arial" w:cs="Arial" w:eastAsia="Arial" w:hAnsi="Arial"/>
                <w:sz w:val="14"/>
                <w:szCs w:val="14"/>
                <w:b w:val="1"/>
                <w:bCs w:val="1"/>
                <w:color w:val="auto"/>
                <w:w w:val="93"/>
              </w:rPr>
              <w:t>(650) 752-2000</w:t>
            </w:r>
          </w:p>
        </w:tc>
      </w:tr>
      <w:tr>
        <w:trPr>
          <w:trHeight w:val="186"/>
        </w:trPr>
        <w:tc>
          <w:tcPr>
            <w:tcW w:w="2440" w:type="dxa"/>
            <w:vAlign w:val="bottom"/>
          </w:tcPr>
          <w:p>
            <w:pPr>
              <w:jc w:val="center"/>
              <w:ind w:right="708"/>
              <w:spacing w:after="0"/>
              <w:rPr>
                <w:sz w:val="20"/>
                <w:szCs w:val="20"/>
                <w:color w:val="auto"/>
              </w:rPr>
            </w:pPr>
            <w:r>
              <w:rPr>
                <w:rFonts w:ascii="Arial" w:cs="Arial" w:eastAsia="Arial" w:hAnsi="Arial"/>
                <w:sz w:val="14"/>
                <w:szCs w:val="14"/>
                <w:b w:val="1"/>
                <w:bCs w:val="1"/>
                <w:color w:val="auto"/>
                <w:w w:val="93"/>
              </w:rPr>
              <w:t>(650) 843-5000</w:t>
            </w:r>
          </w:p>
        </w:tc>
        <w:tc>
          <w:tcPr>
            <w:tcW w:w="48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102235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6"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20" w:firstLine="33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200" w:right="20" w:firstLine="331"/>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240" w:top="230" w:right="419" w:bottom="1440" w:gutter="0" w:footer="0" w:header="0"/>
        </w:sectPr>
      </w:pPr>
    </w:p>
    <w:p>
      <w:pPr>
        <w:spacing w:after="0" w:line="21" w:lineRule="exact"/>
        <w:rPr>
          <w:sz w:val="24"/>
          <w:szCs w:val="24"/>
          <w:color w:val="auto"/>
        </w:rPr>
      </w:pPr>
    </w:p>
    <w:p>
      <w:pPr>
        <w:ind w:left="200"/>
        <w:spacing w:after="0" w:line="161" w:lineRule="exact"/>
        <w:tabs>
          <w:tab w:leader="none" w:pos="1820" w:val="left"/>
          <w:tab w:leader="none" w:pos="90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65" w:lineRule="exact"/>
        <w:rPr>
          <w:sz w:val="24"/>
          <w:szCs w:val="24"/>
          <w:color w:val="auto"/>
        </w:rPr>
      </w:pPr>
    </w:p>
    <w:p>
      <w:pPr>
        <w:ind w:left="200"/>
        <w:spacing w:after="0" w:line="161" w:lineRule="exact"/>
        <w:tabs>
          <w:tab w:leader="none" w:pos="1820" w:val="left"/>
          <w:tab w:leader="none" w:pos="90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(Do not check if a smaller reporting company)</w:t>
      </w:r>
      <w:r>
        <w:rPr>
          <w:sz w:val="20"/>
          <w:szCs w:val="20"/>
          <w:color w:val="auto"/>
        </w:rPr>
        <w:tab/>
      </w:r>
      <w:r>
        <w:rPr>
          <w:rFonts w:ascii="Arial" w:cs="Arial" w:eastAsia="Arial" w:hAnsi="Arial"/>
          <w:sz w:val="13"/>
          <w:szCs w:val="13"/>
          <w:color w:val="auto"/>
        </w:rPr>
        <w:t>Smaller reporting company</w:t>
      </w:r>
    </w:p>
    <w:p>
      <w:pPr>
        <w:spacing w:after="0" w:line="59" w:lineRule="exact"/>
        <w:rPr>
          <w:sz w:val="24"/>
          <w:szCs w:val="24"/>
          <w:color w:val="auto"/>
        </w:rPr>
      </w:pPr>
    </w:p>
    <w:p>
      <w:pPr>
        <w:ind w:left="9100"/>
        <w:spacing w:after="0"/>
        <w:rPr>
          <w:sz w:val="20"/>
          <w:szCs w:val="20"/>
          <w:color w:val="auto"/>
        </w:rPr>
      </w:pPr>
      <w:r>
        <w:rPr>
          <w:rFonts w:ascii="Arial" w:cs="Arial" w:eastAsia="Arial" w:hAnsi="Arial"/>
          <w:sz w:val="14"/>
          <w:szCs w:val="14"/>
          <w:color w:val="auto"/>
        </w:rPr>
        <w:t>Emerging growth company</w:t>
      </w:r>
    </w:p>
    <w:p>
      <w:pPr>
        <w:spacing w:after="0" w:line="55" w:lineRule="exact"/>
        <w:rPr>
          <w:sz w:val="24"/>
          <w:szCs w:val="24"/>
          <w:color w:val="auto"/>
        </w:rPr>
      </w:pPr>
    </w:p>
    <w:p>
      <w:pPr>
        <w:ind w:left="20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79375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82" w:lineRule="exact"/>
        <w:rPr>
          <w:sz w:val="24"/>
          <w:szCs w:val="24"/>
          <w:color w:val="auto"/>
        </w:rPr>
      </w:pPr>
    </w:p>
    <w:p>
      <w:pPr>
        <w:sectPr>
          <w:pgSz w:w="11900" w:h="16838" w:orient="portrait"/>
          <w:cols w:equalWidth="0" w:num="2">
            <w:col w:w="10960" w:space="120"/>
            <w:col w:w="160"/>
          </w:cols>
          <w:pgMar w:left="240" w:top="230" w:right="419" w:bottom="1440" w:gutter="0" w:footer="0" w:header="0"/>
          <w:type w:val="continuous"/>
        </w:sect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4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44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80" w:type="dxa"/>
            <w:vAlign w:val="bottom"/>
          </w:tcPr>
          <w:p>
            <w:pPr>
              <w:spacing w:after="0"/>
              <w:rPr>
                <w:sz w:val="9"/>
                <w:szCs w:val="9"/>
                <w:color w:val="auto"/>
              </w:rPr>
            </w:pPr>
          </w:p>
        </w:tc>
        <w:tc>
          <w:tcPr>
            <w:tcW w:w="15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44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80" w:type="dxa"/>
            <w:vAlign w:val="bottom"/>
          </w:tcPr>
          <w:p>
            <w:pPr>
              <w:spacing w:after="0"/>
              <w:rPr>
                <w:sz w:val="12"/>
                <w:szCs w:val="12"/>
                <w:color w:val="auto"/>
              </w:rPr>
            </w:pP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4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00" w:type="dxa"/>
            <w:vAlign w:val="bottom"/>
          </w:tcPr>
          <w:p>
            <w:pPr>
              <w:spacing w:after="0"/>
              <w:rPr>
                <w:sz w:val="13"/>
                <w:szCs w:val="13"/>
                <w:color w:val="auto"/>
              </w:rPr>
            </w:pPr>
          </w:p>
        </w:tc>
        <w:tc>
          <w:tcPr>
            <w:tcW w:w="1560" w:type="dxa"/>
            <w:vAlign w:val="bottom"/>
            <w:tcBorders>
              <w:right w:val="single" w:sz="8" w:color="auto"/>
            </w:tcBorders>
          </w:tcPr>
          <w:p>
            <w:pPr>
              <w:ind w:left="360"/>
              <w:spacing w:after="0" w:line="158" w:lineRule="exact"/>
              <w:rPr>
                <w:sz w:val="20"/>
                <w:szCs w:val="20"/>
                <w:color w:val="auto"/>
              </w:rPr>
            </w:pPr>
            <w:r>
              <w:rPr>
                <w:rFonts w:ascii="Arial" w:cs="Arial" w:eastAsia="Arial" w:hAnsi="Arial"/>
                <w:sz w:val="14"/>
                <w:szCs w:val="14"/>
                <w:b w:val="1"/>
                <w:bCs w:val="1"/>
                <w:color w:val="auto"/>
              </w:rPr>
              <w:t>Amount to be</w:t>
            </w:r>
          </w:p>
        </w:tc>
        <w:tc>
          <w:tcPr>
            <w:tcW w:w="100" w:type="dxa"/>
            <w:vAlign w:val="bottom"/>
          </w:tcPr>
          <w:p>
            <w:pPr>
              <w:spacing w:after="0"/>
              <w:rPr>
                <w:sz w:val="13"/>
                <w:szCs w:val="13"/>
                <w:color w:val="auto"/>
              </w:rPr>
            </w:pPr>
          </w:p>
        </w:tc>
        <w:tc>
          <w:tcPr>
            <w:tcW w:w="15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80" w:type="dxa"/>
            <w:vAlign w:val="bottom"/>
          </w:tcPr>
          <w:p>
            <w:pPr>
              <w:spacing w:after="0"/>
              <w:rPr>
                <w:sz w:val="13"/>
                <w:szCs w:val="13"/>
                <w:color w:val="auto"/>
              </w:rPr>
            </w:pPr>
          </w:p>
        </w:tc>
        <w:tc>
          <w:tcPr>
            <w:tcW w:w="15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3"/>
                <w:szCs w:val="13"/>
                <w:color w:val="auto"/>
              </w:rPr>
            </w:pPr>
          </w:p>
        </w:tc>
        <w:tc>
          <w:tcPr>
            <w:tcW w:w="1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Share(2)</w:t>
            </w: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Price(1)(2)</w:t>
            </w: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Fee(3)</w:t>
            </w:r>
          </w:p>
        </w:tc>
      </w:tr>
      <w:tr>
        <w:trPr>
          <w:trHeight w:val="142"/>
        </w:trPr>
        <w:tc>
          <w:tcPr>
            <w:tcW w:w="20" w:type="dxa"/>
            <w:vAlign w:val="bottom"/>
            <w:tcBorders>
              <w:bottom w:val="single" w:sz="8" w:color="auto"/>
            </w:tcBorders>
          </w:tcPr>
          <w:p>
            <w:pPr>
              <w:spacing w:after="0"/>
              <w:rPr>
                <w:sz w:val="12"/>
                <w:szCs w:val="12"/>
                <w:color w:val="auto"/>
              </w:rPr>
            </w:pPr>
          </w:p>
        </w:tc>
        <w:tc>
          <w:tcPr>
            <w:tcW w:w="44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$0.0001 per share</w:t>
            </w:r>
          </w:p>
        </w:tc>
        <w:tc>
          <w:tcPr>
            <w:tcW w:w="1660" w:type="dxa"/>
            <w:vAlign w:val="bottom"/>
            <w:tcBorders>
              <w:bottom w:val="single" w:sz="8" w:color="auto"/>
              <w:right w:val="single" w:sz="8" w:color="auto"/>
            </w:tcBorders>
            <w:gridSpan w:val="2"/>
          </w:tcPr>
          <w:p>
            <w:pPr>
              <w:jc w:val="right"/>
              <w:ind w:right="428"/>
              <w:spacing w:after="0" w:line="142" w:lineRule="exact"/>
              <w:rPr>
                <w:sz w:val="20"/>
                <w:szCs w:val="20"/>
                <w:color w:val="auto"/>
              </w:rPr>
            </w:pPr>
            <w:r>
              <w:rPr>
                <w:rFonts w:ascii="Arial" w:cs="Arial" w:eastAsia="Arial" w:hAnsi="Arial"/>
                <w:sz w:val="14"/>
                <w:szCs w:val="14"/>
                <w:color w:val="auto"/>
              </w:rPr>
              <w:t>7,705,000</w:t>
            </w:r>
          </w:p>
        </w:tc>
        <w:tc>
          <w:tcPr>
            <w:tcW w:w="1660" w:type="dxa"/>
            <w:vAlign w:val="bottom"/>
            <w:tcBorders>
              <w:bottom w:val="single" w:sz="8" w:color="auto"/>
              <w:right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3"/>
              </w:rPr>
              <w:t>$16.00</w:t>
            </w:r>
          </w:p>
        </w:tc>
        <w:tc>
          <w:tcPr>
            <w:tcW w:w="1640" w:type="dxa"/>
            <w:vAlign w:val="bottom"/>
            <w:tcBorders>
              <w:bottom w:val="single" w:sz="8" w:color="auto"/>
              <w:right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1"/>
              </w:rPr>
              <w:t>$123,280,000</w:t>
            </w:r>
          </w:p>
        </w:tc>
        <w:tc>
          <w:tcPr>
            <w:tcW w:w="16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0"/>
              </w:rPr>
              <w:t>$15,349</w:t>
            </w: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5"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1,005,000 shares that the underwriters have the option to purchase.</w:t>
      </w:r>
    </w:p>
    <w:p>
      <w:pPr>
        <w:ind w:left="520" w:hanging="316"/>
        <w:spacing w:after="0" w:line="22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of the Securities Act of 1933, as amended.</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a registration fee of $14,318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jc w:val="both"/>
        <w:ind w:left="200" w:right="20" w:firstLine="331"/>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82550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0" w:lineRule="exact"/>
        <w:rPr>
          <w:sz w:val="20"/>
          <w:szCs w:val="20"/>
          <w:color w:val="auto"/>
        </w:rPr>
      </w:pPr>
    </w:p>
    <w:p>
      <w:pPr>
        <w:jc w:val="both"/>
        <w:ind w:left="200"/>
        <w:spacing w:after="0" w:line="243" w:lineRule="auto"/>
        <w:rPr>
          <w:sz w:val="20"/>
          <w:szCs w:val="20"/>
          <w:color w:val="auto"/>
        </w:rPr>
      </w:pPr>
      <w:r>
        <w:rPr>
          <w:rFonts w:ascii="Arial" w:cs="Arial" w:eastAsia="Arial" w:hAnsi="Arial"/>
          <w:sz w:val="15"/>
          <w:szCs w:val="15"/>
          <w:b w:val="1"/>
          <w:bCs w:val="1"/>
          <w:color w:val="E019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E01900"/>
        </w:rPr>
        <w:t>PROSPECTUS (Subject To Completion)</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E01900"/>
        </w:rPr>
        <w:t>Issued June 18, 2018</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32"/>
          <w:szCs w:val="32"/>
          <w:i w:val="1"/>
          <w:iCs w:val="1"/>
          <w:color w:val="auto"/>
        </w:rPr>
        <w:t>6,700,000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95885</wp:posOffset>
            </wp:positionV>
            <wp:extent cx="288163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163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230505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both"/>
        <w:ind w:left="200"/>
        <w:spacing w:after="0" w:line="253" w:lineRule="auto"/>
        <w:rPr>
          <w:sz w:val="20"/>
          <w:szCs w:val="20"/>
          <w:color w:val="auto"/>
        </w:rPr>
      </w:pPr>
      <w:r>
        <w:rPr>
          <w:rFonts w:ascii="Arial" w:cs="Arial" w:eastAsia="Arial" w:hAnsi="Arial"/>
          <w:sz w:val="14"/>
          <w:szCs w:val="14"/>
          <w:b w:val="1"/>
          <w:bCs w:val="1"/>
          <w:i w:val="1"/>
          <w:iCs w:val="1"/>
          <w:color w:val="auto"/>
        </w:rPr>
        <w:t>Forty Seven, Inc. is offering 6,700,000 shares of its common stock. This is our initial public offering and no public market currently exists for our shares of common stock. We anticipate that the initial public offering price will be between $14.00 and $16.00 per share.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We have applied to list our common stock on The Nasdaq Global Market under the symbol “FTSV.”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235585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both"/>
        <w:ind w:left="200"/>
        <w:spacing w:after="0" w:line="277" w:lineRule="auto"/>
        <w:rPr>
          <w:rFonts w:ascii="Arial" w:cs="Arial" w:eastAsia="Arial" w:hAnsi="Arial"/>
          <w:sz w:val="18"/>
          <w:szCs w:val="18"/>
          <w:b w:val="1"/>
          <w:bCs w:val="1"/>
          <w:i w:val="1"/>
          <w:iCs w:val="1"/>
          <w:color w:val="0000EE"/>
        </w:rPr>
      </w:pPr>
      <w:hyperlink w:anchor="page14">
        <w:r>
          <w:rPr>
            <w:rFonts w:ascii="Arial" w:cs="Arial" w:eastAsia="Arial" w:hAnsi="Arial"/>
            <w:sz w:val="18"/>
            <w:szCs w:val="18"/>
            <w:b w:val="1"/>
            <w:bCs w:val="1"/>
            <w:i w:val="1"/>
            <w:iCs w:val="1"/>
            <w:color w:val="auto"/>
          </w:rPr>
          <w:t>We are an “emerging growth company” as defined under the federal securities laws. Investing in our common stock involves risks. See “</w:t>
        </w:r>
        <w:r>
          <w:rPr>
            <w:rFonts w:ascii="Arial" w:cs="Arial" w:eastAsia="Arial" w:hAnsi="Arial"/>
            <w:sz w:val="18"/>
            <w:szCs w:val="18"/>
            <w:b w:val="1"/>
            <w:bCs w:val="1"/>
            <w:i w:val="1"/>
            <w:iCs w:val="1"/>
            <w:u w:val="single" w:color="auto"/>
            <w:color w:val="0000EE"/>
          </w:rPr>
          <w:t>Risk</w:t>
        </w:r>
      </w:hyperlink>
      <w:r>
        <w:rPr>
          <w:rFonts w:ascii="Arial" w:cs="Arial" w:eastAsia="Arial" w:hAnsi="Arial"/>
          <w:sz w:val="18"/>
          <w:szCs w:val="18"/>
          <w:b w:val="1"/>
          <w:bCs w:val="1"/>
          <w:i w:val="1"/>
          <w:iCs w:val="1"/>
          <w:color w:val="auto"/>
        </w:rPr>
        <w:t xml:space="preserve"> </w:t>
      </w:r>
      <w:hyperlink w:anchor="page14">
        <w:r>
          <w:rPr>
            <w:rFonts w:ascii="Arial" w:cs="Arial" w:eastAsia="Arial" w:hAnsi="Arial"/>
            <w:sz w:val="18"/>
            <w:szCs w:val="18"/>
            <w:b w:val="1"/>
            <w:bCs w:val="1"/>
            <w:i w:val="1"/>
            <w:iCs w:val="1"/>
            <w:u w:val="single" w:color="auto"/>
            <w:color w:val="0000EE"/>
          </w:rPr>
          <w:t>Factors</w:t>
        </w:r>
        <w:r>
          <w:rPr>
            <w:rFonts w:ascii="Arial" w:cs="Arial" w:eastAsia="Arial" w:hAnsi="Arial"/>
            <w:sz w:val="18"/>
            <w:szCs w:val="18"/>
            <w:b w:val="1"/>
            <w:bCs w:val="1"/>
            <w:i w:val="1"/>
            <w:iCs w:val="1"/>
            <w:color w:val="000000"/>
          </w:rPr>
          <w:t>” beginning on page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200" w:type="dxa"/>
        <w:tblCellMar>
          <w:top w:w="0" w:type="dxa"/>
          <w:left w:w="0" w:type="dxa"/>
          <w:bottom w:w="0" w:type="dxa"/>
          <w:right w:w="0" w:type="dxa"/>
        </w:tblCellMar>
      </w:tblPr>
      <w:tr>
        <w:trPr>
          <w:trHeight w:val="323"/>
        </w:trPr>
        <w:tc>
          <w:tcPr>
            <w:tcW w:w="5460" w:type="dxa"/>
            <w:vAlign w:val="bottom"/>
            <w:gridSpan w:val="2"/>
          </w:tcPr>
          <w:p>
            <w:pPr>
              <w:ind w:left="4260"/>
              <w:spacing w:after="0"/>
              <w:rPr>
                <w:sz w:val="20"/>
                <w:szCs w:val="20"/>
                <w:color w:val="auto"/>
              </w:rPr>
            </w:pPr>
            <w:r>
              <w:rPr>
                <w:rFonts w:ascii="Arial" w:cs="Arial" w:eastAsia="Arial" w:hAnsi="Arial"/>
                <w:sz w:val="22"/>
                <w:szCs w:val="22"/>
                <w:b w:val="1"/>
                <w:bCs w:val="1"/>
                <w:i w:val="1"/>
                <w:iCs w:val="1"/>
                <w:color w:val="auto"/>
              </w:rPr>
              <w:t xml:space="preserve">PRICE </w:t>
            </w:r>
            <w:r>
              <w:rPr>
                <w:rFonts w:ascii="Arial" w:cs="Arial" w:eastAsia="Arial" w:hAnsi="Arial"/>
                <w:sz w:val="25"/>
                <w:szCs w:val="25"/>
                <w:b w:val="1"/>
                <w:bCs w:val="1"/>
                <w:i w:val="1"/>
                <w:iCs w:val="1"/>
                <w:color w:val="auto"/>
              </w:rPr>
              <w:t>$</w:t>
            </w:r>
          </w:p>
        </w:tc>
        <w:tc>
          <w:tcPr>
            <w:tcW w:w="2260" w:type="dxa"/>
            <w:vAlign w:val="bottom"/>
            <w:gridSpan w:val="4"/>
          </w:tcPr>
          <w:p>
            <w:pPr>
              <w:ind w:left="380"/>
              <w:spacing w:after="0"/>
              <w:rPr>
                <w:sz w:val="20"/>
                <w:szCs w:val="20"/>
                <w:color w:val="auto"/>
              </w:rPr>
            </w:pPr>
            <w:r>
              <w:rPr>
                <w:rFonts w:ascii="Arial" w:cs="Arial" w:eastAsia="Arial" w:hAnsi="Arial"/>
                <w:sz w:val="22"/>
                <w:szCs w:val="22"/>
                <w:b w:val="1"/>
                <w:bCs w:val="1"/>
                <w:i w:val="1"/>
                <w:iCs w:val="1"/>
                <w:color w:val="auto"/>
              </w:rPr>
              <w:t>A SHARE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3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gridSpan w:val="8"/>
            <w:vMerge w:val="restart"/>
          </w:tcPr>
          <w:p>
            <w:pPr>
              <w:jc w:val="center"/>
              <w:ind w:right="980"/>
              <w:spacing w:after="0"/>
              <w:rPr>
                <w:sz w:val="20"/>
                <w:szCs w:val="20"/>
                <w:color w:val="auto"/>
              </w:rPr>
            </w:pPr>
            <w:r>
              <w:rPr>
                <w:rFonts w:ascii="Arial" w:cs="Arial" w:eastAsia="Arial" w:hAnsi="Arial"/>
                <w:sz w:val="14"/>
                <w:szCs w:val="14"/>
                <w:b w:val="1"/>
                <w:bCs w:val="1"/>
                <w:i w:val="1"/>
                <w:iCs w:val="1"/>
                <w:color w:val="auto"/>
                <w:w w:val="92"/>
              </w:rPr>
              <w:t>Underwriting</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gridSpan w:val="8"/>
            <w:vMerge w:val="continue"/>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9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i w:val="1"/>
                <w:iCs w:val="1"/>
                <w:color w:val="auto"/>
                <w:w w:val="81"/>
              </w:rPr>
              <w:t>Price to</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4"/>
          </w:tcPr>
          <w:p>
            <w:pPr>
              <w:jc w:val="center"/>
              <w:ind w:right="120"/>
              <w:spacing w:after="0" w:line="129" w:lineRule="exact"/>
              <w:rPr>
                <w:sz w:val="20"/>
                <w:szCs w:val="20"/>
                <w:color w:val="auto"/>
              </w:rPr>
            </w:pPr>
            <w:r>
              <w:rPr>
                <w:rFonts w:ascii="Arial" w:cs="Arial" w:eastAsia="Arial" w:hAnsi="Arial"/>
                <w:sz w:val="14"/>
                <w:szCs w:val="14"/>
                <w:b w:val="1"/>
                <w:bCs w:val="1"/>
                <w:i w:val="1"/>
                <w:iCs w:val="1"/>
                <w:color w:val="auto"/>
                <w:w w:val="85"/>
              </w:rPr>
              <w:t>Discounts</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i w:val="1"/>
                <w:iCs w:val="1"/>
                <w:color w:val="auto"/>
                <w:w w:val="88"/>
              </w:rPr>
              <w:t>and</w:t>
            </w:r>
          </w:p>
        </w:tc>
        <w:tc>
          <w:tcPr>
            <w:tcW w:w="16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4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Per share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i w:val="1"/>
                <w:iCs w:val="1"/>
                <w:color w:val="auto"/>
                <w:w w:val="90"/>
              </w:rPr>
              <w:t>Public</w:t>
            </w:r>
          </w:p>
        </w:tc>
        <w:tc>
          <w:tcPr>
            <w:tcW w:w="540" w:type="dxa"/>
            <w:vAlign w:val="bottom"/>
            <w:vMerge w:val="continue"/>
          </w:tcPr>
          <w:p>
            <w:pPr>
              <w:spacing w:after="0"/>
              <w:rPr>
                <w:sz w:val="12"/>
                <w:szCs w:val="12"/>
                <w:color w:val="auto"/>
              </w:rPr>
            </w:pPr>
          </w:p>
        </w:tc>
        <w:tc>
          <w:tcPr>
            <w:tcW w:w="2440" w:type="dxa"/>
            <w:vAlign w:val="bottom"/>
            <w:gridSpan w:val="9"/>
          </w:tcPr>
          <w:p>
            <w:pPr>
              <w:jc w:val="center"/>
              <w:ind w:right="420"/>
              <w:spacing w:after="0" w:line="129" w:lineRule="exact"/>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700" w:type="dxa"/>
            <w:vAlign w:val="bottom"/>
          </w:tcPr>
          <w:p>
            <w:pPr>
              <w:spacing w:after="0" w:line="129" w:lineRule="exact"/>
              <w:rPr>
                <w:sz w:val="20"/>
                <w:szCs w:val="20"/>
                <w:color w:val="auto"/>
              </w:rPr>
            </w:pPr>
            <w:r>
              <w:rPr>
                <w:rFonts w:ascii="Arial" w:cs="Arial" w:eastAsia="Arial" w:hAnsi="Arial"/>
                <w:sz w:val="14"/>
                <w:szCs w:val="14"/>
                <w:b w:val="1"/>
                <w:bCs w:val="1"/>
                <w:i w:val="1"/>
                <w:iCs w:val="1"/>
                <w:color w:val="auto"/>
                <w:w w:val="84"/>
              </w:rPr>
              <w:t>Forty Seven</w:t>
            </w:r>
          </w:p>
        </w:tc>
        <w:tc>
          <w:tcPr>
            <w:tcW w:w="0" w:type="dxa"/>
            <w:vAlign w:val="bottom"/>
          </w:tcPr>
          <w:p>
            <w:pPr>
              <w:spacing w:after="0"/>
              <w:rPr>
                <w:sz w:val="1"/>
                <w:szCs w:val="1"/>
                <w:color w:val="auto"/>
              </w:rPr>
            </w:pPr>
          </w:p>
        </w:tc>
      </w:tr>
      <w:tr>
        <w:trPr>
          <w:trHeight w:val="103"/>
        </w:trPr>
        <w:tc>
          <w:tcPr>
            <w:tcW w:w="5460" w:type="dxa"/>
            <w:vAlign w:val="bottom"/>
            <w:gridSpan w:val="2"/>
            <w:vMerge w:val="continue"/>
          </w:tcPr>
          <w:p>
            <w:pPr>
              <w:spacing w:after="0"/>
              <w:rPr>
                <w:sz w:val="8"/>
                <w:szCs w:val="8"/>
                <w:color w:val="auto"/>
              </w:rPr>
            </w:pPr>
          </w:p>
        </w:tc>
        <w:tc>
          <w:tcPr>
            <w:tcW w:w="1300" w:type="dxa"/>
            <w:vAlign w:val="bottom"/>
            <w:gridSpan w:val="2"/>
          </w:tcPr>
          <w:p>
            <w:pPr>
              <w:spacing w:after="0"/>
              <w:rPr>
                <w:sz w:val="8"/>
                <w:szCs w:val="8"/>
                <w:color w:val="auto"/>
              </w:rPr>
            </w:pPr>
          </w:p>
        </w:tc>
        <w:tc>
          <w:tcPr>
            <w:tcW w:w="420" w:type="dxa"/>
            <w:vAlign w:val="bottom"/>
            <w:tcBorders>
              <w:top w:val="single" w:sz="8" w:color="auto"/>
            </w:tcBorders>
          </w:tcPr>
          <w:p>
            <w:pPr>
              <w:jc w:val="right"/>
              <w:ind w:right="33"/>
              <w:spacing w:after="0" w:line="104" w:lineRule="exact"/>
              <w:rPr>
                <w:sz w:val="20"/>
                <w:szCs w:val="20"/>
                <w:color w:val="auto"/>
              </w:rPr>
            </w:pPr>
            <w:r>
              <w:rPr>
                <w:rFonts w:ascii="Arial" w:cs="Arial" w:eastAsia="Arial" w:hAnsi="Arial"/>
                <w:sz w:val="11"/>
                <w:szCs w:val="11"/>
                <w:i w:val="1"/>
                <w:iCs w:val="1"/>
                <w:color w:val="auto"/>
              </w:rPr>
              <w:t>$</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top w:val="single" w:sz="8" w:color="auto"/>
            </w:tcBorders>
            <w:gridSpan w:val="5"/>
          </w:tcPr>
          <w:p>
            <w:pPr>
              <w:jc w:val="right"/>
              <w:ind w:right="120"/>
              <w:spacing w:after="0" w:line="104" w:lineRule="exact"/>
              <w:rPr>
                <w:sz w:val="20"/>
                <w:szCs w:val="20"/>
                <w:color w:val="auto"/>
              </w:rPr>
            </w:pPr>
            <w:r>
              <w:rPr>
                <w:rFonts w:ascii="Arial" w:cs="Arial" w:eastAsia="Arial" w:hAnsi="Arial"/>
                <w:sz w:val="11"/>
                <w:szCs w:val="11"/>
                <w:i w:val="1"/>
                <w:iCs w:val="1"/>
                <w:color w:val="auto"/>
              </w:rPr>
              <w:t>$</w:t>
            </w: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Borders>
              <w:top w:val="single" w:sz="8" w:color="auto"/>
            </w:tcBorders>
          </w:tcPr>
          <w:p>
            <w:pPr>
              <w:jc w:val="right"/>
              <w:ind w:right="152"/>
              <w:spacing w:after="0" w:line="104" w:lineRule="exact"/>
              <w:rPr>
                <w:sz w:val="20"/>
                <w:szCs w:val="20"/>
                <w:color w:val="auto"/>
              </w:rPr>
            </w:pPr>
            <w:r>
              <w:rPr>
                <w:rFonts w:ascii="Arial" w:cs="Arial" w:eastAsia="Arial" w:hAnsi="Arial"/>
                <w:sz w:val="11"/>
                <w:szCs w:val="11"/>
                <w:i w:val="1"/>
                <w:iCs w:val="1"/>
                <w:color w:val="auto"/>
              </w:rPr>
              <w:t>$</w:t>
            </w:r>
          </w:p>
        </w:tc>
        <w:tc>
          <w:tcPr>
            <w:tcW w:w="0" w:type="dxa"/>
            <w:vAlign w:val="bottom"/>
          </w:tcPr>
          <w:p>
            <w:pPr>
              <w:spacing w:after="0"/>
              <w:rPr>
                <w:sz w:val="1"/>
                <w:szCs w:val="1"/>
                <w:color w:val="auto"/>
              </w:rPr>
            </w:pPr>
          </w:p>
        </w:tc>
      </w:tr>
      <w:tr>
        <w:trPr>
          <w:trHeight w:val="182"/>
        </w:trPr>
        <w:tc>
          <w:tcPr>
            <w:tcW w:w="5460" w:type="dxa"/>
            <w:vAlign w:val="bottom"/>
            <w:gridSpan w:val="2"/>
          </w:tcPr>
          <w:p>
            <w:pPr>
              <w:spacing w:after="0"/>
              <w:rPr>
                <w:sz w:val="20"/>
                <w:szCs w:val="20"/>
                <w:color w:val="auto"/>
              </w:rPr>
            </w:pPr>
            <w:r>
              <w:rPr>
                <w:rFonts w:ascii="Arial" w:cs="Arial" w:eastAsia="Arial" w:hAnsi="Arial"/>
                <w:sz w:val="14"/>
                <w:szCs w:val="14"/>
                <w:i w:val="1"/>
                <w:iCs w:val="1"/>
                <w:color w:val="auto"/>
              </w:rPr>
              <w:t>Total</w:t>
            </w:r>
          </w:p>
        </w:tc>
        <w:tc>
          <w:tcPr>
            <w:tcW w:w="130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4"/>
          </w:tcPr>
          <w:p>
            <w:pPr>
              <w:jc w:val="right"/>
              <w:ind w:right="28"/>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694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2" w:lineRule="exact"/>
        <w:rPr>
          <w:sz w:val="20"/>
          <w:szCs w:val="20"/>
          <w:color w:val="auto"/>
        </w:rPr>
      </w:pPr>
    </w:p>
    <w:p>
      <w:pPr>
        <w:ind w:left="520" w:hanging="316"/>
        <w:spacing w:after="0"/>
        <w:tabs>
          <w:tab w:leader="none" w:pos="5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See “Underwriters” for a description of the compensation payable to the underwriters</w:t>
      </w:r>
      <w:r>
        <w:rPr>
          <w:rFonts w:ascii="Arial" w:cs="Arial" w:eastAsia="Arial" w:hAnsi="Arial"/>
          <w:sz w:val="14"/>
          <w:szCs w:val="14"/>
          <w:color w:val="auto"/>
        </w:rPr>
        <w:t>.</w:t>
      </w:r>
    </w:p>
    <w:p>
      <w:pPr>
        <w:spacing w:after="0" w:line="204" w:lineRule="exact"/>
        <w:rPr>
          <w:sz w:val="20"/>
          <w:szCs w:val="20"/>
          <w:color w:val="auto"/>
        </w:rPr>
      </w:pPr>
    </w:p>
    <w:p>
      <w:pPr>
        <w:jc w:val="both"/>
        <w:ind w:left="200"/>
        <w:spacing w:after="0" w:line="253" w:lineRule="auto"/>
        <w:rPr>
          <w:sz w:val="20"/>
          <w:szCs w:val="20"/>
          <w:color w:val="auto"/>
        </w:rPr>
      </w:pPr>
      <w:r>
        <w:rPr>
          <w:rFonts w:ascii="Arial" w:cs="Arial" w:eastAsia="Arial" w:hAnsi="Arial"/>
          <w:sz w:val="14"/>
          <w:szCs w:val="14"/>
          <w:i w:val="1"/>
          <w:iCs w:val="1"/>
          <w:color w:val="auto"/>
        </w:rPr>
        <w:t>We have granted the underwriters an option to purchase up to an additional 1,005,000 shares of common stock at the initial public offering price less underwriting discounts and commissions to cover over-allotments.</w:t>
      </w:r>
    </w:p>
    <w:p>
      <w:pPr>
        <w:spacing w:after="0" w:line="174" w:lineRule="exact"/>
        <w:rPr>
          <w:sz w:val="20"/>
          <w:szCs w:val="20"/>
          <w:color w:val="auto"/>
        </w:rPr>
      </w:pPr>
    </w:p>
    <w:p>
      <w:pPr>
        <w:jc w:val="both"/>
        <w:ind w:left="200"/>
        <w:spacing w:after="0" w:line="234" w:lineRule="auto"/>
        <w:rPr>
          <w:sz w:val="20"/>
          <w:szCs w:val="20"/>
          <w:color w:val="auto"/>
        </w:rPr>
      </w:pPr>
      <w:r>
        <w:rPr>
          <w:rFonts w:ascii="Arial" w:cs="Arial" w:eastAsia="Arial" w:hAnsi="Arial"/>
          <w:sz w:val="14"/>
          <w:szCs w:val="14"/>
          <w:i w:val="1"/>
          <w:iCs w:val="1"/>
          <w:color w:val="auto"/>
        </w:rPr>
        <w:t>Certain of our existing stockholders or their affiliates, including entities affiliated with our directors, and certain other persons have indicated an interest in purchasing up to an aggregate of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entities, or any or all of these entities may determine to purchase more, fewer or no shares in this offering.</w:t>
      </w:r>
    </w:p>
    <w:p>
      <w:pPr>
        <w:spacing w:after="0" w:line="182" w:lineRule="exact"/>
        <w:rPr>
          <w:sz w:val="20"/>
          <w:szCs w:val="20"/>
          <w:color w:val="auto"/>
        </w:rPr>
      </w:pPr>
    </w:p>
    <w:p>
      <w:pPr>
        <w:jc w:val="both"/>
        <w:ind w:left="200"/>
        <w:spacing w:after="0" w:line="253" w:lineRule="auto"/>
        <w:rPr>
          <w:sz w:val="20"/>
          <w:szCs w:val="20"/>
          <w:color w:val="auto"/>
        </w:rPr>
      </w:pPr>
      <w:r>
        <w:rPr>
          <w:rFonts w:ascii="Arial" w:cs="Arial" w:eastAsia="Arial" w:hAnsi="Arial"/>
          <w:sz w:val="14"/>
          <w:szCs w:val="14"/>
          <w:i w:val="1"/>
          <w:i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4960" w:type="dxa"/>
            <w:vAlign w:val="bottom"/>
          </w:tcPr>
          <w:p>
            <w:pPr>
              <w:spacing w:after="0"/>
              <w:rPr>
                <w:sz w:val="20"/>
                <w:szCs w:val="20"/>
                <w:color w:val="auto"/>
              </w:rPr>
            </w:pPr>
            <w:r>
              <w:rPr>
                <w:rFonts w:ascii="Arial" w:cs="Arial" w:eastAsia="Arial" w:hAnsi="Arial"/>
                <w:sz w:val="14"/>
                <w:szCs w:val="14"/>
                <w:i w:val="1"/>
                <w:iCs w:val="1"/>
                <w:color w:val="auto"/>
                <w:w w:val="99"/>
              </w:rPr>
              <w:t>The underwriters expect to deliver the shares of common stock to purchasers on</w:t>
            </w: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222250</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00"/>
        <w:spacing w:after="0"/>
        <w:tabs>
          <w:tab w:leader="none" w:pos="9460" w:val="left"/>
        </w:tabs>
        <w:rPr>
          <w:sz w:val="20"/>
          <w:szCs w:val="20"/>
          <w:color w:val="auto"/>
        </w:rPr>
      </w:pPr>
      <w:r>
        <w:rPr>
          <w:rFonts w:ascii="Arial" w:cs="Arial" w:eastAsia="Arial" w:hAnsi="Arial"/>
          <w:sz w:val="25"/>
          <w:szCs w:val="25"/>
          <w:i w:val="1"/>
          <w:iCs w:val="1"/>
          <w:color w:val="auto"/>
        </w:rPr>
        <w:t>MORGAN STANLEY</w:t>
      </w:r>
      <w:r>
        <w:rPr>
          <w:sz w:val="20"/>
          <w:szCs w:val="20"/>
          <w:color w:val="auto"/>
        </w:rPr>
        <w:tab/>
      </w:r>
      <w:r>
        <w:rPr>
          <w:rFonts w:ascii="Arial" w:cs="Arial" w:eastAsia="Arial" w:hAnsi="Arial"/>
          <w:sz w:val="22"/>
          <w:szCs w:val="22"/>
          <w:i w:val="1"/>
          <w:iCs w:val="1"/>
          <w:color w:val="auto"/>
        </w:rPr>
        <w:t>CREDIT SUISSE</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CANACCORD GENUITY</w:t>
      </w:r>
    </w:p>
    <w:p>
      <w:pPr>
        <w:spacing w:after="0" w:line="125" w:lineRule="exact"/>
        <w:rPr>
          <w:sz w:val="20"/>
          <w:szCs w:val="20"/>
          <w:color w:val="auto"/>
        </w:rPr>
      </w:pPr>
    </w:p>
    <w:p>
      <w:pPr>
        <w:ind w:left="200"/>
        <w:spacing w:after="0"/>
        <w:tabs>
          <w:tab w:leader="none" w:pos="9080" w:val="left"/>
        </w:tabs>
        <w:rPr>
          <w:sz w:val="20"/>
          <w:szCs w:val="20"/>
          <w:color w:val="auto"/>
        </w:rPr>
      </w:pPr>
      <w:r>
        <w:rPr>
          <w:rFonts w:ascii="Arial" w:cs="Arial" w:eastAsia="Arial" w:hAnsi="Arial"/>
          <w:sz w:val="19"/>
          <w:szCs w:val="19"/>
          <w:i w:val="1"/>
          <w:iCs w:val="1"/>
          <w:color w:val="auto"/>
        </w:rPr>
        <w:t>BTIG</w:t>
      </w:r>
      <w:r>
        <w:rPr>
          <w:sz w:val="20"/>
          <w:szCs w:val="20"/>
          <w:color w:val="auto"/>
        </w:rPr>
        <w:tab/>
      </w:r>
      <w:r>
        <w:rPr>
          <w:rFonts w:ascii="Arial" w:cs="Arial" w:eastAsia="Arial" w:hAnsi="Arial"/>
          <w:sz w:val="19"/>
          <w:szCs w:val="19"/>
          <w:i w:val="1"/>
          <w:iCs w:val="1"/>
          <w:color w:val="auto"/>
        </w:rPr>
        <w:t>OPPENHEIMER &amp; CO.</w:t>
      </w:r>
    </w:p>
    <w:p>
      <w:pPr>
        <w:sectPr>
          <w:pgSz w:w="11900" w:h="16838" w:orient="portrait"/>
          <w:cols w:equalWidth="0" w:num="1">
            <w:col w:w="11220"/>
          </w:cols>
          <w:pgMar w:left="240" w:top="459" w:right="439" w:bottom="1440" w:gutter="0" w:footer="0" w:header="0"/>
        </w:sectPr>
      </w:pPr>
    </w:p>
    <w:p>
      <w:pPr>
        <w:spacing w:after="0" w:line="24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520" w:type="dxa"/>
            <w:vAlign w:val="bottom"/>
            <w:gridSpan w:val="8"/>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Prospectus Summary</w:t>
              </w:r>
            </w:hyperlink>
          </w:p>
        </w:tc>
        <w:tc>
          <w:tcPr>
            <w:tcW w:w="3380" w:type="dxa"/>
            <w:vAlign w:val="bottom"/>
            <w:gridSpan w:val="6"/>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380" w:type="dxa"/>
            <w:vAlign w:val="bottom"/>
            <w:vMerge w:val="restart"/>
          </w:tcPr>
          <w:p>
            <w:pPr>
              <w:spacing w:after="0"/>
              <w:rPr>
                <w:sz w:val="14"/>
                <w:szCs w:val="14"/>
                <w:color w:val="auto"/>
              </w:rPr>
            </w:pPr>
          </w:p>
        </w:tc>
        <w:tc>
          <w:tcPr>
            <w:tcW w:w="3960" w:type="dxa"/>
            <w:vAlign w:val="bottom"/>
            <w:gridSpan w:val="9"/>
            <w:vMerge w:val="restart"/>
          </w:tcPr>
          <w:p>
            <w:pPr>
              <w:spacing w:after="0"/>
              <w:rPr>
                <w:rFonts w:ascii="Arial" w:cs="Arial" w:eastAsia="Arial" w:hAnsi="Arial"/>
                <w:sz w:val="18"/>
                <w:szCs w:val="18"/>
                <w:color w:val="0000EE"/>
                <w:w w:val="88"/>
              </w:rPr>
            </w:pPr>
            <w:hyperlink w:anchor="page137">
              <w:r>
                <w:rPr>
                  <w:rFonts w:ascii="Arial" w:cs="Arial" w:eastAsia="Arial" w:hAnsi="Arial"/>
                  <w:sz w:val="18"/>
                  <w:szCs w:val="18"/>
                  <w:color w:val="0000EE"/>
                  <w:w w:val="88"/>
                </w:rPr>
                <w:t>Certain Relationships and Related Person Transactions</w:t>
              </w:r>
            </w:hyperlink>
          </w:p>
        </w:tc>
        <w:tc>
          <w:tcPr>
            <w:tcW w:w="1060" w:type="dxa"/>
            <w:vAlign w:val="bottom"/>
            <w:gridSpan w:val="3"/>
            <w:vMerge w:val="restart"/>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8"/>
            <w:vMerge w:val="continue"/>
          </w:tcPr>
          <w:p>
            <w:pPr>
              <w:spacing w:after="0"/>
              <w:rPr>
                <w:sz w:val="14"/>
                <w:szCs w:val="14"/>
                <w:color w:val="auto"/>
              </w:rPr>
            </w:pPr>
          </w:p>
        </w:tc>
        <w:tc>
          <w:tcPr>
            <w:tcW w:w="3380" w:type="dxa"/>
            <w:vAlign w:val="bottom"/>
            <w:gridSpan w:val="6"/>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380" w:type="dxa"/>
            <w:vAlign w:val="bottom"/>
            <w:vMerge w:val="continue"/>
          </w:tcPr>
          <w:p>
            <w:pPr>
              <w:spacing w:after="0"/>
              <w:rPr>
                <w:sz w:val="14"/>
                <w:szCs w:val="14"/>
                <w:color w:val="auto"/>
              </w:rPr>
            </w:pPr>
          </w:p>
        </w:tc>
        <w:tc>
          <w:tcPr>
            <w:tcW w:w="3960" w:type="dxa"/>
            <w:vAlign w:val="bottom"/>
            <w:tcBorders>
              <w:bottom w:val="single" w:sz="8" w:color="0000EE"/>
            </w:tcBorders>
            <w:gridSpan w:val="9"/>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gridSpan w:val="4"/>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40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380" w:type="dxa"/>
            <w:vAlign w:val="bottom"/>
          </w:tcPr>
          <w:p>
            <w:pPr>
              <w:spacing w:after="0"/>
              <w:rPr>
                <w:sz w:val="17"/>
                <w:szCs w:val="17"/>
                <w:color w:val="auto"/>
              </w:rPr>
            </w:pPr>
          </w:p>
        </w:tc>
        <w:tc>
          <w:tcPr>
            <w:tcW w:w="5020" w:type="dxa"/>
            <w:vAlign w:val="bottom"/>
            <w:gridSpan w:val="12"/>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Special Note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5400" w:type="dxa"/>
            <w:vAlign w:val="bottom"/>
            <w:gridSpan w:val="13"/>
          </w:tcPr>
          <w:p>
            <w:pPr>
              <w:ind w:left="380"/>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1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Industry and Market Data</w:t>
              </w:r>
            </w:hyperlink>
          </w:p>
        </w:tc>
        <w:tc>
          <w:tcPr>
            <w:tcW w:w="10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380" w:type="dxa"/>
            <w:vAlign w:val="bottom"/>
          </w:tcPr>
          <w:p>
            <w:pPr>
              <w:spacing w:after="0"/>
              <w:rPr>
                <w:sz w:val="17"/>
                <w:szCs w:val="17"/>
                <w:color w:val="auto"/>
              </w:rPr>
            </w:pPr>
          </w:p>
        </w:tc>
        <w:tc>
          <w:tcPr>
            <w:tcW w:w="5020" w:type="dxa"/>
            <w:vAlign w:val="bottom"/>
            <w:gridSpan w:val="12"/>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Use of Proceeds</w:t>
              </w:r>
            </w:hyperlink>
          </w:p>
        </w:tc>
        <w:tc>
          <w:tcPr>
            <w:tcW w:w="680" w:type="dxa"/>
            <w:vAlign w:val="bottom"/>
            <w:gridSpan w:val="3"/>
          </w:tcPr>
          <w:p>
            <w:pPr>
              <w:spacing w:after="0"/>
              <w:rPr>
                <w:sz w:val="17"/>
                <w:szCs w:val="17"/>
                <w:color w:val="auto"/>
              </w:rPr>
            </w:pPr>
          </w:p>
        </w:tc>
        <w:tc>
          <w:tcPr>
            <w:tcW w:w="30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380" w:type="dxa"/>
            <w:vAlign w:val="bottom"/>
          </w:tcPr>
          <w:p>
            <w:pPr>
              <w:spacing w:after="0"/>
              <w:rPr>
                <w:sz w:val="17"/>
                <w:szCs w:val="17"/>
                <w:color w:val="auto"/>
              </w:rPr>
            </w:pPr>
          </w:p>
        </w:tc>
        <w:tc>
          <w:tcPr>
            <w:tcW w:w="43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51">
              <w:r>
                <w:rPr>
                  <w:rFonts w:ascii="Arial" w:cs="Arial" w:eastAsia="Arial" w:hAnsi="Arial"/>
                  <w:sz w:val="18"/>
                  <w:szCs w:val="18"/>
                  <w:color w:val="0000EE"/>
                  <w:w w:val="89"/>
                </w:rPr>
                <w:t>Material United States Federal Income Tax Consequences to</w:t>
              </w:r>
            </w:hyperlink>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380" w:type="dxa"/>
            <w:vAlign w:val="bottom"/>
          </w:tcPr>
          <w:p>
            <w:pPr>
              <w:spacing w:after="0"/>
              <w:rPr>
                <w:sz w:val="17"/>
                <w:szCs w:val="17"/>
                <w:color w:val="auto"/>
              </w:rPr>
            </w:pPr>
          </w:p>
        </w:tc>
        <w:tc>
          <w:tcPr>
            <w:tcW w:w="5020" w:type="dxa"/>
            <w:vAlign w:val="bottom"/>
            <w:gridSpan w:val="12"/>
          </w:tcPr>
          <w:p>
            <w:pPr>
              <w:ind w:left="180"/>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Non-U.S. Holders of our Common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Capitalization</w:t>
              </w:r>
            </w:hyperlink>
          </w:p>
        </w:tc>
        <w:tc>
          <w:tcPr>
            <w:tcW w:w="160" w:type="dxa"/>
            <w:vAlign w:val="bottom"/>
          </w:tcPr>
          <w:p>
            <w:pPr>
              <w:spacing w:after="0"/>
              <w:rPr>
                <w:sz w:val="17"/>
                <w:szCs w:val="17"/>
                <w:color w:val="auto"/>
              </w:rPr>
            </w:pPr>
          </w:p>
        </w:tc>
        <w:tc>
          <w:tcPr>
            <w:tcW w:w="37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38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155">
              <w:r>
                <w:rPr>
                  <w:rFonts w:ascii="Arial" w:cs="Arial" w:eastAsia="Arial" w:hAnsi="Arial"/>
                  <w:sz w:val="18"/>
                  <w:szCs w:val="18"/>
                  <w:color w:val="0000EE"/>
                  <w:w w:val="96"/>
                </w:rPr>
                <w:t>Underwriters</w:t>
              </w:r>
            </w:hyperlink>
          </w:p>
        </w:tc>
        <w:tc>
          <w:tcPr>
            <w:tcW w:w="400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Dilution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5400" w:type="dxa"/>
            <w:vAlign w:val="bottom"/>
            <w:gridSpan w:val="13"/>
          </w:tcPr>
          <w:p>
            <w:pPr>
              <w:ind w:left="380"/>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Selected Financial Data</w:t>
              </w:r>
            </w:hyperlink>
          </w:p>
        </w:tc>
        <w:tc>
          <w:tcPr>
            <w:tcW w:w="320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38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Experts</w:t>
              </w:r>
            </w:hyperlink>
          </w:p>
        </w:tc>
        <w:tc>
          <w:tcPr>
            <w:tcW w:w="446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196"/>
        </w:trPr>
        <w:tc>
          <w:tcPr>
            <w:tcW w:w="4540" w:type="dxa"/>
            <w:vAlign w:val="bottom"/>
            <w:gridSpan w:val="13"/>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Management’s Discussion and Analysis of Financial Condition</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20" w:type="dxa"/>
            <w:vAlign w:val="bottom"/>
            <w:gridSpan w:val="12"/>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Changes in Independent Registered Public Accounting Firm</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1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and Results of Operations</w:t>
              </w:r>
            </w:hyperlink>
          </w:p>
        </w:tc>
        <w:tc>
          <w:tcPr>
            <w:tcW w:w="2500" w:type="dxa"/>
            <w:vAlign w:val="bottom"/>
            <w:tcBorders>
              <w:top w:val="single" w:sz="8" w:color="0000EE"/>
            </w:tcBorders>
            <w:gridSpan w:val="2"/>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38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162">
              <w:r>
                <w:rPr>
                  <w:rFonts w:ascii="Arial" w:cs="Arial" w:eastAsia="Arial" w:hAnsi="Arial"/>
                  <w:sz w:val="18"/>
                  <w:szCs w:val="18"/>
                  <w:color w:val="0000EE"/>
                  <w:w w:val="93"/>
                </w:rPr>
                <w:t>Where You Can Find Additional Information</w:t>
              </w:r>
            </w:hyperlink>
          </w:p>
        </w:tc>
        <w:tc>
          <w:tcPr>
            <w:tcW w:w="1080" w:type="dxa"/>
            <w:vAlign w:val="bottom"/>
            <w:tcBorders>
              <w:top w:val="single" w:sz="8" w:color="0000EE"/>
            </w:tcBorders>
            <w:gridSpan w:val="2"/>
          </w:tcPr>
          <w:p>
            <w:pPr>
              <w:spacing w:after="0"/>
              <w:rPr>
                <w:sz w:val="17"/>
                <w:szCs w:val="17"/>
                <w:color w:val="auto"/>
              </w:rPr>
            </w:pPr>
          </w:p>
        </w:tc>
        <w:tc>
          <w:tcPr>
            <w:tcW w:w="6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159</w:t>
            </w:r>
          </w:p>
        </w:tc>
        <w:tc>
          <w:tcPr>
            <w:tcW w:w="0" w:type="dxa"/>
            <w:vAlign w:val="bottom"/>
          </w:tcPr>
          <w:p>
            <w:pPr>
              <w:spacing w:after="0"/>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5400" w:type="dxa"/>
            <w:vAlign w:val="bottom"/>
            <w:gridSpan w:val="13"/>
          </w:tcPr>
          <w:p>
            <w:pPr>
              <w:ind w:left="380"/>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Index to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5"/>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Executive Compensation</w:t>
              </w:r>
            </w:hyperlink>
          </w:p>
        </w:tc>
        <w:tc>
          <w:tcPr>
            <w:tcW w:w="30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information that others may give you. We and the underwriters are not offering to sell, or seeking offers to buy, shares of our common stock in any jurisdiction where such offer or sale is not permitted. The information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7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Persons in jurisdictions outside the United States who come into possession of this prospectus and any applicable free writing prospectus must inform themselves about, and observe any restrictions relating to, the offering of the shares of our common stock and the distribution of this prospectus and any applicable free writing prospectus applicable to such jurisdictions.</w:t>
      </w:r>
    </w:p>
    <w:p>
      <w:pPr>
        <w:spacing w:after="0" w:line="177"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7"/>
          <w:szCs w:val="17"/>
          <w:b w:val="1"/>
          <w:bCs w:val="1"/>
          <w:color w:val="auto"/>
        </w:rPr>
        <w:t>Until , 2018 (25 days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5930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380" w:firstLine="426"/>
        <w:spacing w:after="0" w:line="257" w:lineRule="auto"/>
        <w:rPr>
          <w:sz w:val="20"/>
          <w:szCs w:val="20"/>
          <w:color w:val="auto"/>
        </w:rPr>
      </w:pPr>
      <w:r>
        <w:rPr>
          <w:rFonts w:ascii="Arial" w:cs="Arial" w:eastAsia="Arial" w:hAnsi="Arial"/>
          <w:sz w:val="18"/>
          <w:szCs w:val="18"/>
          <w:i w:val="1"/>
          <w:iCs w:val="1"/>
          <w:color w:val="auto"/>
        </w:rPr>
        <w:t>This summary highlights information contained in greater detail elsewhere in this prospectus. This summary is not complete and does not contain all of the information you should consider before investing in our common stock. You should read the entire prospectus carefully, especially the risks of investing in our common stock discussed under the heading “Risk Factors,” and our financial statements and related notes included elsewhere in this prospectus. Unless the context otherwise requires, the terms “Forty Seven,” “company,” “our,” “us,” and “we” in this prospectus refer to Forty Seven, Inc.</w:t>
      </w:r>
    </w:p>
    <w:p>
      <w:pPr>
        <w:spacing w:after="0" w:line="40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80" w:firstLine="426"/>
        <w:spacing w:after="0" w:line="255" w:lineRule="auto"/>
        <w:rPr>
          <w:sz w:val="20"/>
          <w:szCs w:val="20"/>
          <w:color w:val="auto"/>
        </w:rPr>
      </w:pPr>
      <w:r>
        <w:rPr>
          <w:rFonts w:ascii="Arial" w:cs="Arial" w:eastAsia="Arial" w:hAnsi="Arial"/>
          <w:sz w:val="18"/>
          <w:szCs w:val="18"/>
          <w:color w:val="auto"/>
        </w:rPr>
        <w:t>We are a clinical-stage immuno-oncology company focused on developing novel checkpoint therapies to activate macrophages in the fight against cancer. We founded Forty Seven based on the insight that blocking CD47, a key signaling molecule that is overexpressed on cancer cells, renders tumors susceptible to macrophages. By harnessing macrophages, we believe that our lead product candidate, 5F9, dosed as a monotherapy or in combination with marketed cancer therapies, can transform the treatment of cancer. 5F9 has demonstrated promising activity in six Phase 1b/2 clinical trials in which we have treated over 190 relapsed or refractory cancer patients with solid or hematologic tumors. We hold worldwide rights to all of our product candidates.</w:t>
      </w:r>
    </w:p>
    <w:p>
      <w:pPr>
        <w:spacing w:after="0" w:line="193" w:lineRule="exact"/>
        <w:rPr>
          <w:sz w:val="20"/>
          <w:szCs w:val="20"/>
          <w:color w:val="auto"/>
        </w:rPr>
      </w:pPr>
    </w:p>
    <w:p>
      <w:pPr>
        <w:jc w:val="both"/>
        <w:ind w:left="380" w:firstLine="426"/>
        <w:spacing w:after="0" w:line="272" w:lineRule="auto"/>
        <w:rPr>
          <w:sz w:val="20"/>
          <w:szCs w:val="20"/>
          <w:color w:val="auto"/>
        </w:rPr>
      </w:pPr>
      <w:r>
        <w:rPr>
          <w:rFonts w:ascii="Arial" w:cs="Arial" w:eastAsia="Arial" w:hAnsi="Arial"/>
          <w:sz w:val="17"/>
          <w:szCs w:val="17"/>
          <w:color w:val="auto"/>
        </w:rPr>
        <w:t>We focus our efforts on targeting the CD47 pathway as a way to engage macrophages in fighting tumors. Macrophages function as first responders, swallowing foreign and abnormal cells, including cancer cells, and mobilizing other components of the immune system including T cells and antibodies. Cancer cells use CD47, a “don’t eat me” signal, in order to evade detection by the immune system and subsequent destruction by macrophages. Overexpression of CD47 is common to nearly all types of tumors and is also correlated with poor prognosis in multiple cancers including acute myelogenous leukemia, or AML, colorectal cancer, or CRC, gastric cancer, lung cancer, Non-Hodgkin’s lymphoma, or NHL, and ovarian cancer. Despite the central role of macrophages as cell-eating scavengers and first responders, the pharmaceutical industry is only beginning to bring this key group of cells into the fight against cancer.</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company was founded by leading scientists at Stanford University who uncovered the fundamental role of CD47 in cancer evasion.</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Preclinical work performed in the laboratory of our co-founder, Irv Weissman, at Stanford University demonstrated that:</w:t>
      </w:r>
    </w:p>
    <w:p>
      <w:pPr>
        <w:spacing w:after="0" w:line="116" w:lineRule="exact"/>
        <w:rPr>
          <w:sz w:val="20"/>
          <w:szCs w:val="20"/>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Blocking the CD47 “don’t eat me” signaling pathway leads to elimination of many types of tumors and increased survival;</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Boosting an “eat me” signal found on cancer cells using therapeutic antibodies results in a synergistic effect with blocking CD47; and</w:t>
      </w:r>
    </w:p>
    <w:p>
      <w:pPr>
        <w:spacing w:after="0" w:line="153" w:lineRule="exact"/>
        <w:rPr>
          <w:rFonts w:ascii="Arial" w:cs="Arial" w:eastAsia="Arial" w:hAnsi="Arial"/>
          <w:sz w:val="16"/>
          <w:szCs w:val="16"/>
          <w:color w:val="auto"/>
        </w:rPr>
      </w:pPr>
    </w:p>
    <w:p>
      <w:pPr>
        <w:ind w:left="1220" w:right="20" w:hanging="415"/>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Macrophages digest cancer cells in a process called phagocytosis and present tumor-specific antigens that can activate T cells against the cancer, thus creating the potential for synergy with T cell checkpoint inhibitors.</w:t>
      </w:r>
    </w:p>
    <w:p>
      <w:pPr>
        <w:spacing w:after="0" w:line="170" w:lineRule="exact"/>
        <w:rPr>
          <w:sz w:val="20"/>
          <w:szCs w:val="20"/>
          <w:color w:val="auto"/>
        </w:rPr>
      </w:pPr>
    </w:p>
    <w:p>
      <w:pPr>
        <w:jc w:val="both"/>
        <w:ind w:left="380" w:firstLine="426"/>
        <w:spacing w:after="0" w:line="276" w:lineRule="auto"/>
        <w:rPr>
          <w:sz w:val="20"/>
          <w:szCs w:val="20"/>
          <w:color w:val="auto"/>
        </w:rPr>
      </w:pPr>
      <w:r>
        <w:rPr>
          <w:rFonts w:ascii="Arial" w:cs="Arial" w:eastAsia="Arial" w:hAnsi="Arial"/>
          <w:sz w:val="17"/>
          <w:szCs w:val="17"/>
          <w:color w:val="auto"/>
        </w:rPr>
        <w:t>Our lead product candidate, 5F9, is a humanized IgG4 subclass monoclonal antibody against CD47 that is designed to interfere with recognition of CD47 by the SIRPa receptor on macrophages, thus blocking the “don’t eat me” signal. The design of 5F9, combined with our proprietary dosing regimen, overcomes the toxicity limitations of previously tested anti-CD47 therapies developed by others. Across all study populations, 5F9 has been well tolerated with no maximum tolerated dose, or MTD, observed in any study despite dosing up to 45 mg/kg. The most common treatment-associated effects observed to date were the expected CD47-mechanism-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5869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8699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based effects on red blood cells, which led to a temporary and reversible anemia. Other reported treatment-related adverse events include infusion reactions, headache, fatigue, chills, fever and nausea. The majority of these adverse events were mild to moderate in severity and were generally easily managed. See “Business—Our Lead Product Candidate, 5F9—Safety Profile of 5F9.”</w:t>
      </w:r>
    </w:p>
    <w:p>
      <w:pPr>
        <w:spacing w:after="0" w:line="181" w:lineRule="exact"/>
        <w:rPr>
          <w:sz w:val="20"/>
          <w:szCs w:val="20"/>
          <w:color w:val="auto"/>
        </w:rPr>
      </w:pPr>
    </w:p>
    <w:p>
      <w:pPr>
        <w:jc w:val="both"/>
        <w:ind w:left="380" w:firstLine="426"/>
        <w:spacing w:after="0" w:line="291" w:lineRule="auto"/>
        <w:rPr>
          <w:sz w:val="20"/>
          <w:szCs w:val="20"/>
          <w:color w:val="auto"/>
        </w:rPr>
      </w:pPr>
      <w:r>
        <w:rPr>
          <w:rFonts w:ascii="Arial" w:cs="Arial" w:eastAsia="Arial" w:hAnsi="Arial"/>
          <w:sz w:val="16"/>
          <w:szCs w:val="16"/>
          <w:color w:val="auto"/>
        </w:rPr>
        <w:t>To date, there are no approved therapies that target the CD47 checkpoint of the innate immune system. The targeting of CD47 to make cancer cells susceptible to macrophages, a component of the innate immune system, is analogous to the approach that has been applied with checkpoint inhibitors and T cells, a component of the adaptive immune system. In less than five years on the market, T cell checkpoint inhibitors have become frontline therapies for certain cancers and we estimate that they generated over $9 billion in sales in 2017. Despite the success of T cell checkpoint inhibitors, these therapies have been shown to be effective only in a subset of tumors, highlighting the need for additional therapies. Similar to the way cancer cells overexpress programmed death-ligand 1, or PD-L1, to avoid attack by T cells, cancer cells overexpress CD47 as a way to avoid destruction by macrophages. We believe targeting CD47 represents a compelling and analogous approach.</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Development Pipeline</w:t>
      </w:r>
    </w:p>
    <w:p>
      <w:pPr>
        <w:spacing w:after="0" w:line="121" w:lineRule="exact"/>
        <w:rPr>
          <w:sz w:val="20"/>
          <w:szCs w:val="20"/>
          <w:color w:val="auto"/>
        </w:rPr>
      </w:pPr>
    </w:p>
    <w:p>
      <w:pPr>
        <w:jc w:val="both"/>
        <w:ind w:left="380" w:firstLine="426"/>
        <w:spacing w:after="0" w:line="270" w:lineRule="auto"/>
        <w:rPr>
          <w:sz w:val="20"/>
          <w:szCs w:val="20"/>
          <w:color w:val="auto"/>
        </w:rPr>
      </w:pPr>
      <w:r>
        <w:rPr>
          <w:rFonts w:ascii="Arial" w:cs="Arial" w:eastAsia="Arial" w:hAnsi="Arial"/>
          <w:sz w:val="17"/>
          <w:szCs w:val="17"/>
          <w:color w:val="auto"/>
        </w:rPr>
        <w:t>As summarized in the following figure, our clinical trials are investigating three types of CD47 therapy: as a monotherapy, in combination with therapeutic antibodies and in combination with T cell checkpoint inhibitors, in a wide variety of tumors, including both solid and hematological cancers. We have treated over 190 relapsed or refractory cancer patients with 5F9 both as a monotherapy and in combination with therapeutic antibodies such as rituximab and cetuximab. While the primary goal of our trials has been to demonstrate safety, we have also observed early signs of clinical activity in multiple tumor types. These signs include patients with partial and complete responses, as well as patients with “stable disease.” We use standard clinical assessment criteria to evaluate the growth or reduction in existing tumor size, within set parameters, as well as growth of new tumors and metabolic activity. Broadly stated, “stable disease” indicates a growth or reduction in tumor size that is insufficient to meet the definitions of either progressive disease or partial or complete response. In contrast, patients with partial or complete responses have substantial reductions in tumor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5561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55613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5F9 Monotherapy</w:t>
      </w:r>
    </w:p>
    <w:p>
      <w:pPr>
        <w:spacing w:after="0" w:line="121" w:lineRule="exact"/>
        <w:rPr>
          <w:sz w:val="20"/>
          <w:szCs w:val="20"/>
          <w:color w:val="auto"/>
        </w:rPr>
      </w:pPr>
    </w:p>
    <w:p>
      <w:pPr>
        <w:jc w:val="both"/>
        <w:ind w:left="380" w:firstLine="426"/>
        <w:spacing w:after="0" w:line="273" w:lineRule="auto"/>
        <w:rPr>
          <w:sz w:val="20"/>
          <w:szCs w:val="20"/>
          <w:color w:val="auto"/>
        </w:rPr>
      </w:pPr>
      <w:r>
        <w:rPr>
          <w:rFonts w:ascii="Arial" w:cs="Arial" w:eastAsia="Arial" w:hAnsi="Arial"/>
          <w:sz w:val="17"/>
          <w:szCs w:val="17"/>
          <w:color w:val="auto"/>
        </w:rPr>
        <w:t>In our ongoing trials, 5F9 treatment has demonstrated biological responses and multiple cases of stable disease in Phase 1 as a monotherapy for patients with refractory AML. Reductions in the number of blast cells in patient bone marrow samples have been observed in 7 of the 18 patients (39%) treated with 5F9, as of May 2018. One of these patients had prolonged stable disease for 11.8 months on study before progressing, which is more than double the average life expectancy for this refractory patient population. In biologic responders, we confirmed the presence of macrophages in tumor tissues and we observed that other components of the immune system, including T cells, had been recruited. We have received orphan drug designation from U.S. and European regulatory authorities for AML.</w:t>
      </w:r>
    </w:p>
    <w:p>
      <w:pPr>
        <w:spacing w:after="0" w:line="178" w:lineRule="exact"/>
        <w:rPr>
          <w:sz w:val="20"/>
          <w:szCs w:val="20"/>
          <w:color w:val="auto"/>
        </w:rPr>
      </w:pPr>
    </w:p>
    <w:p>
      <w:pPr>
        <w:jc w:val="both"/>
        <w:ind w:left="380" w:firstLine="426"/>
        <w:spacing w:after="0" w:line="257" w:lineRule="auto"/>
        <w:rPr>
          <w:sz w:val="20"/>
          <w:szCs w:val="20"/>
          <w:color w:val="auto"/>
        </w:rPr>
      </w:pPr>
      <w:r>
        <w:rPr>
          <w:rFonts w:ascii="Arial" w:cs="Arial" w:eastAsia="Arial" w:hAnsi="Arial"/>
          <w:sz w:val="18"/>
          <w:szCs w:val="18"/>
          <w:color w:val="auto"/>
        </w:rPr>
        <w:t>We are also investigating 5F9 as a monotherapy in ovarian cancer and other solid tumors. In a Phase 1 trial of 5F9, we observed confirmed partial responses in 2 out of 21 evaluable patients in a cohort with ovarian cancer receiving either 20 mg/kg or higher doses of 5F9, as of April 2018. Both were heavily pre-treated patients failing seven or more previous treatment regimens. One of these patients had a durable partial response of more than six months in duration. We continue to investigate the potential of 5F9 in an expanded cohort of more than 15 patients with ovarian cancer.</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5F9 in Combination with Therapeutic Cancer Antibodies</w:t>
      </w:r>
    </w:p>
    <w:p>
      <w:pPr>
        <w:spacing w:after="0" w:line="121" w:lineRule="exact"/>
        <w:rPr>
          <w:sz w:val="20"/>
          <w:szCs w:val="20"/>
          <w:color w:val="auto"/>
        </w:rPr>
      </w:pPr>
    </w:p>
    <w:p>
      <w:pPr>
        <w:jc w:val="both"/>
        <w:ind w:left="380" w:firstLine="426"/>
        <w:spacing w:after="0" w:line="297" w:lineRule="auto"/>
        <w:rPr>
          <w:sz w:val="20"/>
          <w:szCs w:val="20"/>
          <w:color w:val="auto"/>
        </w:rPr>
      </w:pPr>
      <w:r>
        <w:rPr>
          <w:rFonts w:ascii="Arial" w:cs="Arial" w:eastAsia="Arial" w:hAnsi="Arial"/>
          <w:sz w:val="16"/>
          <w:szCs w:val="16"/>
          <w:color w:val="auto"/>
        </w:rPr>
        <w:t>In addition to continuing our trials using 5F9 as a monotherapy, we are also conducting multiple trials of 5F9 in combination with therapeutic cancer antibodies in order to test the synergistic potency of these combinations. We believe that we can enhance the effect of 5F9 on cancer by using therapeutic antibodies that bind cancer cells to present an “eat me” signal to macrophages. Hence, we are combining 5F9 with cancer-cell-binding antibodies such as rituximab and cetuximab. Based on our preclinical research and on publications by academic groups, we believe that this combination of an “eat me” signal by these antibodies and the blocking of a “don’t eat me” signal by 5F9 could be highly effective.</w:t>
      </w:r>
    </w:p>
    <w:p>
      <w:pPr>
        <w:spacing w:after="0" w:line="158" w:lineRule="exact"/>
        <w:rPr>
          <w:sz w:val="20"/>
          <w:szCs w:val="20"/>
          <w:color w:val="auto"/>
        </w:rPr>
      </w:pPr>
    </w:p>
    <w:p>
      <w:pPr>
        <w:jc w:val="both"/>
        <w:ind w:left="380" w:firstLine="426"/>
        <w:spacing w:after="0" w:line="270" w:lineRule="auto"/>
        <w:rPr>
          <w:sz w:val="20"/>
          <w:szCs w:val="20"/>
          <w:color w:val="auto"/>
        </w:rPr>
      </w:pPr>
      <w:r>
        <w:rPr>
          <w:rFonts w:ascii="Arial" w:cs="Arial" w:eastAsia="Arial" w:hAnsi="Arial"/>
          <w:sz w:val="17"/>
          <w:szCs w:val="17"/>
          <w:color w:val="auto"/>
        </w:rPr>
        <w:t>Our most advanced ongoing clinical trial is an open-label, multi-site Phase 1b/2 combination trial using 5F9 and rituximab in patients with relapsed and refractory NHL. As of April 2018, we have obtained clinical response data from 30 patients receiving 10 mg/kg, 20 mg/kg or 30 mg/kg of 5F9 in this Phase 1b/2 trial. Of these Phase 1b/2 patients, progression of the disease was controlled in 17 patients (57%), and 14 patients (47%) displayed an objective response. Ten patients (33%) were reported to have a complete response and 4 patients (13%) were reported to have partial responses. Importantly, the rate of clinical response increased with the 5F9 dosage and as of April 2018, the median duration of response had not been reached for either Phase 1b DLBCL or FL patients while the median time on treatment was over six months and eight months for DLBCL and FL patients, respectively. Clinical activity was observed in both diffuse large B cell lymphoma, or DLBCL, and follicular lymphoma, or FL, patients. Clinical activity in these patients is notable because they all entered the trial after failing multiple lines of previously approved therapies, including rituximab. In April 2018, the U.S. Food and Drug Administration, or FDA, granted Fast Track designations to 5F9 for the treatment of both relapsed and/or refractory DLBCL and relapsed and/or refractory FL.</w:t>
      </w:r>
    </w:p>
    <w:p>
      <w:pPr>
        <w:spacing w:after="0" w:line="178" w:lineRule="exact"/>
        <w:rPr>
          <w:sz w:val="20"/>
          <w:szCs w:val="20"/>
          <w:color w:val="auto"/>
        </w:rPr>
      </w:pPr>
    </w:p>
    <w:p>
      <w:pPr>
        <w:jc w:val="both"/>
        <w:ind w:left="380" w:firstLine="426"/>
        <w:spacing w:after="0" w:line="276" w:lineRule="auto"/>
        <w:rPr>
          <w:sz w:val="20"/>
          <w:szCs w:val="20"/>
          <w:color w:val="auto"/>
        </w:rPr>
      </w:pPr>
      <w:r>
        <w:rPr>
          <w:rFonts w:ascii="Arial" w:cs="Arial" w:eastAsia="Arial" w:hAnsi="Arial"/>
          <w:sz w:val="17"/>
          <w:szCs w:val="17"/>
          <w:color w:val="auto"/>
        </w:rPr>
        <w:t>Our Phase 1b/2 combination clinical trial with cetuximab in patients with advanced relapsed or refractory solid tumors, including CRC, as of April 2018 had enrolled 37 patients at multiple sites in the United States. Data from the 10 mg/kg, 20 mg/kg and 30 mg/kg cohorts of the Phase 1b portion of the trial showed that of the 22 CRC patients, 2 (9%) had a partial response and 9 (41%) had stable disease as their best response. Importantly, at the time of data cutoff in April 2018, the initial responding patient had maintained a durable response over eight months that was ongoing. Of the 9 patients with stable disease responses, 2 remain on study at the time of data cutoff.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5930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Planned Trials: 5F9 Combinations with Checkpoint Inhibitors</w:t>
      </w:r>
    </w:p>
    <w:p>
      <w:pPr>
        <w:spacing w:after="0" w:line="121" w:lineRule="exact"/>
        <w:rPr>
          <w:sz w:val="20"/>
          <w:szCs w:val="20"/>
          <w:color w:val="auto"/>
        </w:rPr>
      </w:pPr>
    </w:p>
    <w:p>
      <w:pPr>
        <w:jc w:val="both"/>
        <w:ind w:left="380" w:firstLine="426"/>
        <w:spacing w:after="0" w:line="279" w:lineRule="auto"/>
        <w:rPr>
          <w:sz w:val="20"/>
          <w:szCs w:val="20"/>
          <w:color w:val="auto"/>
        </w:rPr>
      </w:pPr>
      <w:r>
        <w:rPr>
          <w:rFonts w:ascii="Arial" w:cs="Arial" w:eastAsia="Arial" w:hAnsi="Arial"/>
          <w:sz w:val="17"/>
          <w:szCs w:val="17"/>
          <w:color w:val="auto"/>
        </w:rPr>
        <w:t>We believe there is a strong rationale to combine 5F9 and T cell checkpoint inhibitors and we plan to initiate combination clinical trials in both solid and hematological tumors. 5F9 induces a potent anti-tumor T cell response by enabling macrophages to ingest cancer cells and present antigens derived from these cancer cells to T cells. Thus, we believe the combination of a T cell checkpoint inhibitor with 5F9 is likely to further enhance an anti-tumor T cell response and to further mobilize both the innate and adaptive immune systems to eliminate cancer.</w:t>
      </w:r>
    </w:p>
    <w:p>
      <w:pPr>
        <w:spacing w:after="0" w:line="171" w:lineRule="exact"/>
        <w:rPr>
          <w:sz w:val="20"/>
          <w:szCs w:val="20"/>
          <w:color w:val="auto"/>
        </w:rPr>
      </w:pPr>
    </w:p>
    <w:p>
      <w:pPr>
        <w:jc w:val="both"/>
        <w:ind w:left="380" w:firstLine="426"/>
        <w:spacing w:after="0" w:line="276" w:lineRule="auto"/>
        <w:rPr>
          <w:sz w:val="20"/>
          <w:szCs w:val="20"/>
          <w:color w:val="auto"/>
        </w:rPr>
      </w:pPr>
      <w:r>
        <w:rPr>
          <w:rFonts w:ascii="Arial" w:cs="Arial" w:eastAsia="Arial" w:hAnsi="Arial"/>
          <w:sz w:val="17"/>
          <w:szCs w:val="17"/>
          <w:color w:val="auto"/>
        </w:rPr>
        <w:t>In early 2018, we announced clinical trial collaboration and supply agreements with two pharmaceutical companies to combine 5F9 with PD-L1 checkpoint inhibitors, while retaining full economic rights to our products. Pursuant to these agreements, we are conducting clinical trials with Merck KGaA on the combination of 5F9 with BAVENCIO (avelumab) in ovarian cancer patients; and with Genentech, Inc., a member of the Roche Group, on the combination of 5F9 and TECENTRIQ (atezolizumab) in patients with bladder cancer and in patients with AML. We will supply 5F9, and Merck KGaA and Genentech will supply their respective drug products for these trials.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jc w:val="both"/>
        <w:ind w:left="380" w:firstLine="426"/>
        <w:spacing w:after="0" w:line="255" w:lineRule="auto"/>
        <w:rPr>
          <w:sz w:val="20"/>
          <w:szCs w:val="20"/>
          <w:color w:val="auto"/>
        </w:rPr>
      </w:pPr>
      <w:r>
        <w:rPr>
          <w:rFonts w:ascii="Arial" w:cs="Arial" w:eastAsia="Arial" w:hAnsi="Arial"/>
          <w:sz w:val="18"/>
          <w:szCs w:val="18"/>
          <w:color w:val="auto"/>
        </w:rPr>
        <w:t>Our company was founded by leading scientists at Stanford University, including our co-founder, Irv Weissman, who uncovered the fundamental role of CD47 in immune regulation and applied these findings to the field of immuno-oncology. We have assembled a team of executives with broad industry experience in biologics and other therapeutics, as well as strong academic and clinical backgrounds. Our management team has worked for pharmaceutical companies such as Abbott Laboratories, Amgen, Inc., Genentech, Gilead Sciences, Inc., Janssen Global Services, LLC, PDL Biopharma, Inc. and Sandoz Inc. We have funded our operations to date primarily from the issuance and sale of our preferred stock to investors, including Lightspeed Venture Partners, Sutter Hill Ventures, Clarus, GV and Wellington Management Company, and from the receipt of government and private grants.</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strategy includes the following components:</w:t>
      </w:r>
    </w:p>
    <w:p>
      <w:pPr>
        <w:spacing w:after="0" w:line="131" w:lineRule="exact"/>
        <w:rPr>
          <w:sz w:val="20"/>
          <w:szCs w:val="20"/>
          <w:color w:val="auto"/>
        </w:rPr>
      </w:pPr>
    </w:p>
    <w:p>
      <w:pPr>
        <w:jc w:val="both"/>
        <w:ind w:left="1220" w:right="20" w:hanging="415"/>
        <w:spacing w:after="0" w:line="259"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 focus on our core mission of helping patients defeat their cancer. </w:t>
      </w:r>
      <w:r>
        <w:rPr>
          <w:rFonts w:ascii="Arial" w:cs="Arial" w:eastAsia="Arial" w:hAnsi="Arial"/>
          <w:sz w:val="18"/>
          <w:szCs w:val="18"/>
          <w:color w:val="auto"/>
        </w:rPr>
        <w:t>By focusing on patients first, we believe we can realize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full potential of our therapies. Our initial efforts are directed at patients with high unmet medical needs, such as those diagnosed with AML, CRC, NHL or ovarian cancer. We believe there are patients with many other types of cancers that our product candidates can help.</w:t>
      </w:r>
    </w:p>
    <w:p>
      <w:pPr>
        <w:spacing w:after="0" w:line="92" w:lineRule="exact"/>
        <w:rPr>
          <w:rFonts w:ascii="Arial" w:cs="Arial" w:eastAsia="Arial" w:hAnsi="Arial"/>
          <w:sz w:val="18"/>
          <w:szCs w:val="18"/>
          <w:color w:val="auto"/>
        </w:rPr>
      </w:pPr>
    </w:p>
    <w:p>
      <w:pPr>
        <w:jc w:val="both"/>
        <w:ind w:left="1220" w:right="20" w:hanging="415"/>
        <w:spacing w:after="0" w:line="255"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therapeutic and commercial potential of 5F9 by exploring its treatment of both solid and hematological tumors. </w:t>
      </w:r>
      <w:r>
        <w:rPr>
          <w:rFonts w:ascii="Arial" w:cs="Arial" w:eastAsia="Arial" w:hAnsi="Arial"/>
          <w:sz w:val="18"/>
          <w:szCs w:val="18"/>
          <w:color w:val="auto"/>
        </w:rPr>
        <w:t>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understanding of the CD47 SIRPa pathway and data from preclinical animal models, we believe 5F9 has the potential to benefit patients in a broad range of tumor types and in combination with other approved oncology therapeutics. We are currently evaluating 5F9 in six clinical trials and by early 2019, we expect to have seven clinical trials underway. These trials will read out in 2018 and 2019 and based on these data we expect to initiate additional trials with 5F9 to support regulatory approval and to explore the use of 5F9 in multiple cancer indications.</w:t>
      </w:r>
    </w:p>
    <w:p>
      <w:pPr>
        <w:spacing w:after="0" w:line="98" w:lineRule="exact"/>
        <w:rPr>
          <w:rFonts w:ascii="Arial" w:cs="Arial" w:eastAsia="Arial" w:hAnsi="Arial"/>
          <w:sz w:val="18"/>
          <w:szCs w:val="18"/>
          <w:color w:val="auto"/>
        </w:rPr>
      </w:pPr>
    </w:p>
    <w:p>
      <w:pPr>
        <w:jc w:val="both"/>
        <w:ind w:left="1220" w:right="20" w:hanging="415"/>
        <w:spacing w:after="0" w:line="279"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 early to secure a clinical and commercial supply of 5F9 to mitigate risk and ensure a timely regulatory approval. </w:t>
      </w:r>
      <w:r>
        <w:rPr>
          <w:rFonts w:ascii="Arial" w:cs="Arial" w:eastAsia="Arial" w:hAnsi="Arial"/>
          <w:sz w:val="17"/>
          <w:szCs w:val="17"/>
          <w:color w:val="auto"/>
        </w:rPr>
        <w:t>Although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5F9 utilizes standard antibody manufacturing processes, we recognize that any regulatory approval requires experience and expertise in the commercial manufacturing of 5F9. We have completed strategic manufacturing agreements with Lonza Sales AG and Lonza Biologics Tuas Pte Ltd, or collectively, Lonza, a global leader in biologics manufacturing. The multi-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5715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5715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line="308" w:lineRule="auto"/>
        <w:rPr>
          <w:sz w:val="20"/>
          <w:szCs w:val="20"/>
          <w:color w:val="auto"/>
        </w:rPr>
      </w:pPr>
      <w:r>
        <w:rPr>
          <w:rFonts w:ascii="Arial" w:cs="Arial" w:eastAsia="Arial" w:hAnsi="Arial"/>
          <w:sz w:val="17"/>
          <w:szCs w:val="17"/>
          <w:color w:val="auto"/>
        </w:rPr>
        <w:t>year arrangements help ensure sufficient clinical material for our existing trials and provide a path to generate the required manufacturing information that is part of a biologics license application, or BLA, submission and initial commercial supplies.</w:t>
      </w:r>
    </w:p>
    <w:p>
      <w:pPr>
        <w:spacing w:after="0" w:line="48" w:lineRule="exact"/>
        <w:rPr>
          <w:sz w:val="20"/>
          <w:szCs w:val="20"/>
          <w:color w:val="auto"/>
        </w:rPr>
      </w:pPr>
    </w:p>
    <w:p>
      <w:pPr>
        <w:jc w:val="both"/>
        <w:ind w:left="1220" w:hanging="415"/>
        <w:spacing w:after="0" w:line="277"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Pursue collaborative relationships and in-licensing opportunities to help advance and expand our product candidate portfolio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 to our internal drug discovery and development efforts, we plan to identify and pursue strategic collaborative relationships, partnerships and in-licensing opportunities to enhance the development of our current programs and access additional novel product candidates. For example, in January 2018 we announced clinical trial collaboration and clinical supply agreements with both Merck KGaA and Genentech to explore the utility of 5F9 in combination with approved checkpoint inhibitors.</w:t>
      </w:r>
    </w:p>
    <w:p>
      <w:pPr>
        <w:spacing w:after="0" w:line="77" w:lineRule="exact"/>
        <w:rPr>
          <w:rFonts w:ascii="Arial" w:cs="Arial" w:eastAsia="Arial" w:hAnsi="Arial"/>
          <w:sz w:val="17"/>
          <w:szCs w:val="17"/>
          <w:color w:val="auto"/>
        </w:rPr>
      </w:pPr>
    </w:p>
    <w:p>
      <w:pPr>
        <w:jc w:val="both"/>
        <w:ind w:left="1220" w:hanging="415"/>
        <w:spacing w:after="0" w:line="279"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Prepare for an active role in commercialization in the United States while considering opportunities to engage with partners to access commercialization capabilities outside the United States. </w:t>
      </w:r>
      <w:r>
        <w:rPr>
          <w:rFonts w:ascii="Arial" w:cs="Arial" w:eastAsia="Arial" w:hAnsi="Arial"/>
          <w:sz w:val="17"/>
          <w:szCs w:val="17"/>
          <w:color w:val="auto"/>
        </w:rPr>
        <w:t>We have worldwide rights to 5F9. If 5F9 receives marketing approval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United States, we intend to commercialize it with our own focused, specialty sales and marketing organization. We may explore partnering with a third party to commercialize and market 5F9 in certain geographies.</w:t>
      </w:r>
    </w:p>
    <w:p>
      <w:pPr>
        <w:spacing w:after="0" w:line="76" w:lineRule="exact"/>
        <w:rPr>
          <w:rFonts w:ascii="Arial" w:cs="Arial" w:eastAsia="Arial" w:hAnsi="Arial"/>
          <w:sz w:val="17"/>
          <w:szCs w:val="17"/>
          <w:color w:val="auto"/>
        </w:rPr>
      </w:pPr>
    </w:p>
    <w:p>
      <w:pPr>
        <w:jc w:val="both"/>
        <w:ind w:left="1220" w:hanging="415"/>
        <w:spacing w:after="0" w:line="286"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our knowledge and expertise in immune system and cancer biology to develop a pipeline of novel cancer therapeutics.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intend to utilize CD47 and its associated immune activation pathways to their fullest potential to help patients defeat their cancer. This includes the development of our existing programs and the pursuit of new programs in the future.</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among others, the following:</w:t>
      </w:r>
    </w:p>
    <w:p>
      <w:pPr>
        <w:spacing w:after="0" w:line="76" w:lineRule="exact"/>
        <w:rPr>
          <w:sz w:val="20"/>
          <w:szCs w:val="20"/>
          <w:color w:val="auto"/>
        </w:rPr>
      </w:pPr>
    </w:p>
    <w:p>
      <w:pPr>
        <w:jc w:val="both"/>
        <w:ind w:left="122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anticipate that we will continue to incur substantial operating losses for the foreseeable future. We have not yet generated any revenue and had an accumulated deficit of $84.2 million as of March 31, 2018.</w:t>
      </w:r>
    </w:p>
    <w:p>
      <w:pPr>
        <w:spacing w:after="0" w:line="86" w:lineRule="exact"/>
        <w:rPr>
          <w:rFonts w:ascii="Arial" w:cs="Arial" w:eastAsia="Arial" w:hAnsi="Arial"/>
          <w:sz w:val="18"/>
          <w:szCs w:val="18"/>
          <w:color w:val="auto"/>
        </w:rPr>
      </w:pPr>
    </w:p>
    <w:p>
      <w:pPr>
        <w:ind w:left="1220" w:hanging="415"/>
        <w:spacing w:after="0" w:line="308"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Even if this offering is successful, we will need substantial additional funding and may be unable to raise capital when needed, which would force us to delay, reduce or terminate our product development programs or commercialization efforts.</w:t>
      </w:r>
    </w:p>
    <w:p>
      <w:pPr>
        <w:spacing w:after="0" w:line="51" w:lineRule="exact"/>
        <w:rPr>
          <w:rFonts w:ascii="Arial" w:cs="Arial" w:eastAsia="Arial" w:hAnsi="Arial"/>
          <w:sz w:val="17"/>
          <w:szCs w:val="17"/>
          <w:color w:val="auto"/>
        </w:rPr>
      </w:pPr>
    </w:p>
    <w:p>
      <w:pPr>
        <w:ind w:left="1220" w:hanging="415"/>
        <w:spacing w:after="0" w:line="308"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depend primarily on the success of our lead product candidate, 5F9, which is in clinical development and which has not completed a pivotal trial, and we may not be successful in any future efforts to identify and develop additional product candidates.</w:t>
      </w:r>
    </w:p>
    <w:p>
      <w:pPr>
        <w:spacing w:after="0" w:line="51" w:lineRule="exact"/>
        <w:rPr>
          <w:rFonts w:ascii="Arial" w:cs="Arial" w:eastAsia="Arial" w:hAnsi="Arial"/>
          <w:sz w:val="17"/>
          <w:szCs w:val="17"/>
          <w:color w:val="auto"/>
        </w:rPr>
      </w:pPr>
    </w:p>
    <w:p>
      <w:pPr>
        <w:ind w:left="1220" w:hanging="415"/>
        <w:spacing w:after="0" w:line="308"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Clinical trials of our product candidates will be costly and time consuming, and if they fail to demonstrate safety and efficacy to the satisfaction of the FDA or other regulatory authorities, we will be unable to commercialize our product candidates.</w:t>
      </w:r>
    </w:p>
    <w:p>
      <w:pPr>
        <w:spacing w:after="0" w:line="51" w:lineRule="exact"/>
        <w:rPr>
          <w:rFonts w:ascii="Arial" w:cs="Arial" w:eastAsia="Arial" w:hAnsi="Arial"/>
          <w:sz w:val="17"/>
          <w:szCs w:val="17"/>
          <w:color w:val="auto"/>
        </w:rPr>
      </w:pPr>
    </w:p>
    <w:p>
      <w:pPr>
        <w:ind w:left="122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our planned clinical trials could result in increased costs to us and could delay, prevent or limit our ability to generate revenue and continue our business.</w:t>
      </w:r>
    </w:p>
    <w:p>
      <w:pPr>
        <w:spacing w:after="0" w:line="75" w:lineRule="exact"/>
        <w:rPr>
          <w:rFonts w:ascii="Arial" w:cs="Arial" w:eastAsia="Arial" w:hAnsi="Arial"/>
          <w:sz w:val="18"/>
          <w:szCs w:val="18"/>
          <w:color w:val="auto"/>
        </w:rPr>
      </w:pPr>
    </w:p>
    <w:p>
      <w:pPr>
        <w:ind w:left="122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serious adverse events or unexpected characteristics of our product candidates are identified during development, we may need to abandon or limit our development of some or all of our product candidates.</w:t>
      </w:r>
    </w:p>
    <w:p>
      <w:pPr>
        <w:spacing w:after="0" w:line="75" w:lineRule="exact"/>
        <w:rPr>
          <w:rFonts w:ascii="Arial" w:cs="Arial" w:eastAsia="Arial" w:hAnsi="Arial"/>
          <w:sz w:val="18"/>
          <w:szCs w:val="18"/>
          <w:color w:val="auto"/>
        </w:rPr>
      </w:pPr>
    </w:p>
    <w:p>
      <w:pPr>
        <w:ind w:left="122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our clinical trials, our receipt of necessary regulatory approvals could be delayed or prevented.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5312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5312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2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conduct our business without infringing, misappropriating or otherwise violating the intellectual property rights of third parties, we may not be able to commercialize our product candidates.</w:t>
      </w:r>
    </w:p>
    <w:p>
      <w:pPr>
        <w:spacing w:after="0" w:line="75" w:lineRule="exact"/>
        <w:rPr>
          <w:rFonts w:ascii="Arial" w:cs="Arial" w:eastAsia="Arial" w:hAnsi="Arial"/>
          <w:sz w:val="18"/>
          <w:szCs w:val="18"/>
          <w:color w:val="auto"/>
        </w:rPr>
      </w:pPr>
    </w:p>
    <w:p>
      <w:pPr>
        <w:jc w:val="both"/>
        <w:ind w:left="1220" w:right="20" w:hanging="415"/>
        <w:spacing w:after="0" w:line="312"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are unable to obtain sufficient intellectual property protection for our product candidates and related intellectual property, or if the scope of such intellectual property protection is not sufficiently broad, our competitors could develop and commercialize products similar or identical to ours, and our ability to successfully commercialize our product candidates or our business may be harmed.</w:t>
      </w:r>
    </w:p>
    <w:p>
      <w:pPr>
        <w:spacing w:after="0" w:line="52" w:lineRule="exact"/>
        <w:rPr>
          <w:rFonts w:ascii="Arial" w:cs="Arial" w:eastAsia="Arial" w:hAnsi="Arial"/>
          <w:sz w:val="16"/>
          <w:szCs w:val="16"/>
          <w:color w:val="auto"/>
        </w:rPr>
      </w:pPr>
    </w:p>
    <w:p>
      <w:pPr>
        <w:ind w:left="1220" w:right="2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Healthcare policy and regulatory oversight in the United States and internationally are subject to rapid change, and if we are unable to respond, our business may be harmed.</w:t>
      </w:r>
    </w:p>
    <w:p>
      <w:pPr>
        <w:spacing w:after="0" w:line="75"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substantial competition from major pharmaceutical companies, specialty pharmaceutical companies and biotechnology companies worldwide.</w:t>
      </w:r>
    </w:p>
    <w:p>
      <w:pPr>
        <w:spacing w:after="0" w:line="170" w:lineRule="exact"/>
        <w:rPr>
          <w:sz w:val="20"/>
          <w:szCs w:val="20"/>
          <w:color w:val="auto"/>
        </w:rPr>
      </w:pPr>
    </w:p>
    <w:p>
      <w:pPr>
        <w:jc w:val="both"/>
        <w:ind w:left="380" w:firstLine="426"/>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financial condition, operating results and prospects may be adversely affected.</w:t>
      </w:r>
    </w:p>
    <w:p>
      <w:pPr>
        <w:spacing w:after="0" w:line="170" w:lineRule="exact"/>
        <w:rPr>
          <w:sz w:val="20"/>
          <w:szCs w:val="20"/>
          <w:color w:val="auto"/>
        </w:rPr>
      </w:pPr>
    </w:p>
    <w:p>
      <w:pPr>
        <w:jc w:val="both"/>
        <w:ind w:left="380" w:firstLine="426"/>
        <w:spacing w:after="0" w:line="289" w:lineRule="auto"/>
        <w:rPr>
          <w:sz w:val="20"/>
          <w:szCs w:val="20"/>
          <w:color w:val="auto"/>
        </w:rPr>
      </w:pPr>
      <w:r>
        <w:rPr>
          <w:rFonts w:ascii="Arial" w:cs="Arial" w:eastAsia="Arial" w:hAnsi="Arial"/>
          <w:sz w:val="16"/>
          <w:szCs w:val="16"/>
          <w:color w:val="auto"/>
        </w:rPr>
        <w:t>In addition, we are an “emerging growth company” as defined in the Jumpstart Our Business Startups Act, or the JOBS Act, and therefore we intend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not elected to avail ourselves of this exemption and, therefore, we will be subject to the same new or revised accounting standards as other public companies that are not “emerging growth companies.”</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80" w:firstLine="426"/>
        <w:spacing w:after="0" w:line="277" w:lineRule="auto"/>
        <w:rPr>
          <w:sz w:val="20"/>
          <w:szCs w:val="20"/>
          <w:color w:val="auto"/>
        </w:rPr>
      </w:pPr>
      <w:r>
        <w:rPr>
          <w:rFonts w:ascii="Arial" w:cs="Arial" w:eastAsia="Arial" w:hAnsi="Arial"/>
          <w:sz w:val="18"/>
          <w:szCs w:val="18"/>
          <w:color w:val="auto"/>
        </w:rPr>
        <w:t>We were incorporated in Delaware in 2014 as CD47 Sciences, Inc. Our principal executive offices are located at 1490 O’Brien Drive, Suite A, Menlo Park, California 94025, and our telephone number is (650) 352-4150.</w:t>
      </w:r>
    </w:p>
    <w:p>
      <w:pPr>
        <w:spacing w:after="0" w:line="170" w:lineRule="exact"/>
        <w:rPr>
          <w:sz w:val="20"/>
          <w:szCs w:val="20"/>
          <w:color w:val="auto"/>
        </w:rPr>
      </w:pPr>
    </w:p>
    <w:p>
      <w:pPr>
        <w:jc w:val="both"/>
        <w:ind w:left="380" w:firstLine="426"/>
        <w:spacing w:after="0" w:line="277" w:lineRule="auto"/>
        <w:rPr>
          <w:sz w:val="20"/>
          <w:szCs w:val="20"/>
          <w:color w:val="auto"/>
        </w:rPr>
      </w:pPr>
      <w:r>
        <w:rPr>
          <w:rFonts w:ascii="Arial" w:cs="Arial" w:eastAsia="Arial" w:hAnsi="Arial"/>
          <w:sz w:val="18"/>
          <w:szCs w:val="18"/>
          <w:color w:val="auto"/>
        </w:rPr>
        <w:t>Our website address is www.fortyseveninc.com. Information contained on, or that can be accessed through, our website is not incorporated by reference into this prospectus, and you should not consider information on our website to be part of this prospectus.</w:t>
      </w:r>
    </w:p>
    <w:p>
      <w:pPr>
        <w:spacing w:after="0" w:line="170" w:lineRule="exact"/>
        <w:rPr>
          <w:sz w:val="20"/>
          <w:szCs w:val="20"/>
          <w:color w:val="auto"/>
        </w:rPr>
      </w:pPr>
    </w:p>
    <w:p>
      <w:pPr>
        <w:jc w:val="both"/>
        <w:ind w:left="380" w:firstLine="426"/>
        <w:spacing w:after="0" w:line="259" w:lineRule="auto"/>
        <w:rPr>
          <w:sz w:val="20"/>
          <w:szCs w:val="20"/>
          <w:color w:val="auto"/>
        </w:rPr>
      </w:pPr>
      <w:r>
        <w:rPr>
          <w:rFonts w:ascii="Arial" w:cs="Arial" w:eastAsia="Arial" w:hAnsi="Arial"/>
          <w:sz w:val="18"/>
          <w:szCs w:val="18"/>
          <w:color w:val="auto"/>
        </w:rPr>
        <w:t>“Forty Seven,” the Forty Seven logo and other trademarks or service marks of Forty Seven appearing in this prospectus are our property. This prospectus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5767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57670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40"/>
          </w:cols>
          <w:pgMar w:left="240" w:top="459" w:right="619" w:bottom="1440" w:gutter="0" w:footer="0" w:header="0"/>
        </w:sectPr>
      </w:pPr>
    </w:p>
    <w:p>
      <w:pPr>
        <w:spacing w:after="0" w:line="3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Common stock offered by us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Over-allotment option</w:t>
      </w:r>
    </w:p>
    <w:p>
      <w:pPr>
        <w:spacing w:after="0" w:line="77" w:lineRule="exact"/>
        <w:rPr>
          <w:sz w:val="20"/>
          <w:szCs w:val="20"/>
          <w:color w:val="auto"/>
        </w:rPr>
      </w:pPr>
    </w:p>
    <w:p>
      <w:pPr>
        <w:ind w:left="580" w:right="1860" w:hanging="179"/>
        <w:spacing w:after="0" w:line="277" w:lineRule="auto"/>
        <w:rPr>
          <w:sz w:val="20"/>
          <w:szCs w:val="20"/>
          <w:color w:val="auto"/>
        </w:rPr>
      </w:pPr>
      <w:r>
        <w:rPr>
          <w:rFonts w:ascii="Arial" w:cs="Arial" w:eastAsia="Arial" w:hAnsi="Arial"/>
          <w:sz w:val="18"/>
          <w:szCs w:val="18"/>
          <w:color w:val="auto"/>
        </w:rPr>
        <w:t>Common stock to be outstanding after this offering</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Proposed Nasdaq trading symbol</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6,700,000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1,005,000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29,625,103 shares</w:t>
      </w:r>
    </w:p>
    <w:p>
      <w:pPr>
        <w:spacing w:after="0" w:line="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estimate that the net proceeds from the sale of shares of our common stock that we are selling in this offering will be approximately $90.0 million (or approximately $104.0 million if the underwriters’ over-allotment option is exercised in full), based upon an assumed initial public offering price of $15.00 per share, the midpoint of the estimated offering price range set forth on the cover page of this prospectus, after deducting underwriting discounts and commissions and estimated offering expenses payable by us.</w:t>
      </w:r>
    </w:p>
    <w:p>
      <w:pPr>
        <w:spacing w:after="0" w:line="166" w:lineRule="exact"/>
        <w:rPr>
          <w:sz w:val="20"/>
          <w:szCs w:val="20"/>
          <w:color w:val="auto"/>
        </w:rPr>
      </w:pPr>
    </w:p>
    <w:p>
      <w:pPr>
        <w:ind w:right="1180"/>
        <w:spacing w:after="0" w:line="287" w:lineRule="auto"/>
        <w:rPr>
          <w:sz w:val="20"/>
          <w:szCs w:val="20"/>
          <w:color w:val="auto"/>
        </w:rPr>
      </w:pPr>
      <w:r>
        <w:rPr>
          <w:rFonts w:ascii="Arial" w:cs="Arial" w:eastAsia="Arial" w:hAnsi="Arial"/>
          <w:sz w:val="16"/>
          <w:szCs w:val="16"/>
          <w:color w:val="auto"/>
        </w:rPr>
        <w:t>We intend to use the net proceeds from this offering to conduct our clinical trials, to fund continued research and development of 5F9 in several applications, to fund other research and development activities, and for working capital and other general corporate purposes. We may also use a portion of the net proceeds to license intellectual property or to make acquisitions or investments, although we have no commitments or agreements to enter into such licenses, acquisitions or investments. See the section titled “Use of Proceeds” for additional information.</w:t>
      </w:r>
    </w:p>
    <w:p>
      <w:pPr>
        <w:spacing w:after="0" w:line="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See “Risk Factors” and the other information included in this prospectus for a discussion of factors you should carefully consider before deciding to invest in our common stock.</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“FTSV”</w:t>
      </w:r>
    </w:p>
    <w:p>
      <w:pPr>
        <w:spacing w:after="0" w:line="200" w:lineRule="exact"/>
        <w:rPr>
          <w:sz w:val="20"/>
          <w:szCs w:val="20"/>
          <w:color w:val="auto"/>
        </w:rPr>
      </w:pPr>
    </w:p>
    <w:p>
      <w:pPr>
        <w:sectPr>
          <w:pgSz w:w="11900" w:h="16838" w:orient="portrait"/>
          <w:cols w:equalWidth="0" w:num="2">
            <w:col w:w="5320" w:space="720"/>
            <w:col w:w="5000"/>
          </w:cols>
          <w:pgMar w:left="240" w:top="459" w:right="619" w:bottom="1440" w:gutter="0" w:footer="0" w:header="0"/>
          <w:type w:val="continuous"/>
        </w:sectPr>
      </w:pPr>
    </w:p>
    <w:p>
      <w:pPr>
        <w:spacing w:after="0" w:line="25" w:lineRule="exact"/>
        <w:rPr>
          <w:sz w:val="20"/>
          <w:szCs w:val="20"/>
          <w:color w:val="auto"/>
        </w:rPr>
      </w:pPr>
    </w:p>
    <w:p>
      <w:pPr>
        <w:jc w:val="both"/>
        <w:ind w:left="380" w:firstLine="426"/>
        <w:spacing w:after="0" w:line="255" w:lineRule="auto"/>
        <w:rPr>
          <w:sz w:val="20"/>
          <w:szCs w:val="20"/>
          <w:color w:val="auto"/>
        </w:rPr>
      </w:pPr>
      <w:r>
        <w:rPr>
          <w:rFonts w:ascii="Arial" w:cs="Arial" w:eastAsia="Arial" w:hAnsi="Arial"/>
          <w:sz w:val="18"/>
          <w:szCs w:val="18"/>
          <w:color w:val="auto"/>
        </w:rPr>
        <w:t>Certain of our existing stockholders or their affiliates, including entities affiliated with Lightspeed Venture Partners, Sutter Hill Ventures and Clarus, each a beneficial owner of more than 5% of our capital stock and an affiliate of one of our directors, and certain other persons have indicated an interest in purchasing up to an aggregate of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entities, or any or all of these entities may determine to purchase more, fewer or no shares in this offering. The underwriters will receive the same underwriting discount on any shares purchased by these entities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240" w:top="459" w:right="6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42665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4266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22,925,103 shares of common stock (including preferred stock on an as-converted basis) outstanding as of March 31, 2018, and excludes:</w:t>
      </w:r>
    </w:p>
    <w:p>
      <w:pPr>
        <w:spacing w:after="0" w:line="76" w:lineRule="exact"/>
        <w:rPr>
          <w:sz w:val="20"/>
          <w:szCs w:val="20"/>
          <w:color w:val="auto"/>
        </w:rPr>
      </w:pPr>
    </w:p>
    <w:p>
      <w:pPr>
        <w:jc w:val="both"/>
        <w:ind w:left="1220" w:right="20" w:hanging="415"/>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2,206,642 shares of common stock issuable upon the exercise of outstanding stock options as of March 31, 2018 with a weighted-average exercise price of $4.67 per share, plus 1,199,143 shares of common stock issuable upon the exercise of stock options granted subsequent to March 31, 2018, with a weighted-average exercise price of $8.91 per share;</w:t>
      </w:r>
    </w:p>
    <w:p>
      <w:pPr>
        <w:spacing w:after="0" w:line="86" w:lineRule="exact"/>
        <w:rPr>
          <w:rFonts w:ascii="Arial" w:cs="Arial" w:eastAsia="Arial" w:hAnsi="Arial"/>
          <w:sz w:val="18"/>
          <w:szCs w:val="18"/>
          <w:color w:val="auto"/>
        </w:rPr>
      </w:pPr>
    </w:p>
    <w:p>
      <w:pPr>
        <w:jc w:val="both"/>
        <w:ind w:left="1220" w:right="20" w:hanging="415"/>
        <w:spacing w:after="0" w:line="259"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166,856 additional shares of common stock reserved for future issuance under our 2015 Equity Incentive Plan as of March 31, 2018, plus an additional 1,677,419 shares of common stock reserved for future issuance under this plan subsequent to March 31, 2018, all of which shares will cease to be available for issuance at the time our 2018 Equity Incentive Plan becomes effective in connection with this offering;</w:t>
      </w:r>
    </w:p>
    <w:p>
      <w:pPr>
        <w:spacing w:after="0" w:line="92" w:lineRule="exact"/>
        <w:rPr>
          <w:rFonts w:ascii="Arial" w:cs="Arial" w:eastAsia="Arial" w:hAnsi="Arial"/>
          <w:sz w:val="18"/>
          <w:szCs w:val="18"/>
          <w:color w:val="auto"/>
        </w:rPr>
      </w:pPr>
    </w:p>
    <w:p>
      <w:pPr>
        <w:jc w:val="both"/>
        <w:ind w:left="1220" w:right="20" w:hanging="415"/>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3,000,000 shares of common stock reserved for future issuance under our 2018 Equity Incentive Plan, which will become effective upon the execution of the underwriting agreement for this offering, as well as any automatic increases in the number of shares of common stock reserved for future issuance under this plan; and</w:t>
      </w:r>
    </w:p>
    <w:p>
      <w:pPr>
        <w:spacing w:after="0" w:line="86" w:lineRule="exact"/>
        <w:rPr>
          <w:rFonts w:ascii="Arial" w:cs="Arial" w:eastAsia="Arial" w:hAnsi="Arial"/>
          <w:sz w:val="18"/>
          <w:szCs w:val="18"/>
          <w:color w:val="auto"/>
        </w:rPr>
      </w:pPr>
    </w:p>
    <w:p>
      <w:pPr>
        <w:jc w:val="both"/>
        <w:ind w:left="1220" w:right="20" w:hanging="415"/>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450,000 shares of common stock reserved for issuance under our 2018 Employee Stock Purchase Plan, which will become effective upon the execution of the underwriting agreement for this offering as well as any automatic increases in the number of shares of common stock reserved for future issuance under this plan.</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addition, unless we specifically state otherwise, all information in this prospectus assumes:</w:t>
      </w:r>
    </w:p>
    <w:p>
      <w:pPr>
        <w:spacing w:after="0" w:line="131" w:lineRule="exact"/>
        <w:rPr>
          <w:sz w:val="20"/>
          <w:szCs w:val="20"/>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1-for-7.75 reverse stock split of our common stock and preferred stock effected on June 14, 2018;</w:t>
      </w:r>
    </w:p>
    <w:p>
      <w:pPr>
        <w:spacing w:after="0" w:line="130"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our amended and restated certificate of incorporation, which we will file in connection with the closing of this offering, and our amended and restated bylaws adopted in connection with this offering are effective;</w:t>
      </w:r>
    </w:p>
    <w:p>
      <w:pPr>
        <w:spacing w:after="0" w:line="75"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all 16,215,896 outstanding shares of our preferred stock into an equal number of shares of common stock immediately upon the closing of this offering;</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4832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48323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jc w:val="both"/>
        <w:ind w:left="380" w:firstLine="426"/>
        <w:spacing w:after="0" w:line="289" w:lineRule="auto"/>
        <w:rPr>
          <w:sz w:val="20"/>
          <w:szCs w:val="20"/>
          <w:color w:val="auto"/>
        </w:rPr>
      </w:pPr>
      <w:r>
        <w:rPr>
          <w:rFonts w:ascii="Arial" w:cs="Arial" w:eastAsia="Arial" w:hAnsi="Arial"/>
          <w:sz w:val="16"/>
          <w:szCs w:val="16"/>
          <w:color w:val="auto"/>
        </w:rPr>
        <w:t>We have derived the summary statement of operations data for 2016 and 2017 from our audited financial statements included elsewhere in this prospectus. We derived the summary statement of operations data for the three months ended March 31, 2017 and 2018 and the summary balance sheet data as of March 31, 2018 from our unaudited interim condensed financial statements and related notes included elsewhere in this prospectus. Our unaudited interim condensed financial statements were prepared on the same basis as our audited financial statements and, in our opinion, reflect all adjustments, consisting only of normal recurring adjustments, that are necessary for the fair statement of our unaudited interim condensed financial statements. You should read the following summary financial data in conjunction with “Management’s Discussion and Analysis of Financial Condition and Results of Operations” and our financial statements and related notes included elsewhere in this prospectus. Our historical results are not necessarily indicative of the results to be expected for any other period in the future, and our interim results are not necessarily indicative of the results to be expected for the full year or any other period.</w:t>
      </w:r>
    </w:p>
    <w:p>
      <w:pPr>
        <w:spacing w:after="0" w:line="17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7"/>
            <w:vMerge w:val="restart"/>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4"/>
          </w:tcPr>
          <w:p>
            <w:pPr>
              <w:jc w:val="right"/>
              <w:ind w:right="672"/>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gridSpan w:val="8"/>
          </w:tcPr>
          <w:p>
            <w:pPr>
              <w:jc w:val="right"/>
              <w:ind w:right="104"/>
              <w:spacing w:after="0"/>
              <w:rPr>
                <w:sz w:val="20"/>
                <w:szCs w:val="20"/>
                <w:color w:val="auto"/>
              </w:rPr>
            </w:pPr>
            <w:r>
              <w:rPr>
                <w:rFonts w:ascii="Arial" w:cs="Arial" w:eastAsia="Arial" w:hAnsi="Arial"/>
                <w:sz w:val="14"/>
                <w:szCs w:val="14"/>
                <w:b w:val="1"/>
                <w:bCs w:val="1"/>
                <w:color w:val="auto"/>
                <w:w w:val="93"/>
              </w:rPr>
              <w:t>(In thousands, except share and per share data)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14,464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9,181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11,153</w:t>
            </w:r>
          </w:p>
        </w:tc>
        <w:tc>
          <w:tcPr>
            <w:tcW w:w="0" w:type="dxa"/>
            <w:vAlign w:val="bottom"/>
          </w:tcPr>
          <w:p>
            <w:pPr>
              <w:spacing w:after="0"/>
              <w:rPr>
                <w:sz w:val="1"/>
                <w:szCs w:val="1"/>
                <w:color w:val="auto"/>
              </w:rPr>
            </w:pPr>
          </w:p>
        </w:tc>
      </w:tr>
      <w:tr>
        <w:trPr>
          <w:trHeight w:val="216"/>
        </w:trPr>
        <w:tc>
          <w:tcPr>
            <w:tcW w:w="546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5,153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4"/>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19,617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10,942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23"/>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(19,617)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(45,304)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(10,942)</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(19,539</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(44,898</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(10,908</w:t>
            </w:r>
          </w:p>
        </w:tc>
        <w:tc>
          <w:tcPr>
            <w:tcW w:w="540" w:type="dxa"/>
            <w:vAlign w:val="bottom"/>
          </w:tcPr>
          <w:p>
            <w:pPr>
              <w:jc w:val="right"/>
              <w:ind w:right="404"/>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Shares used in computing net loss per share, basic and diluted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6,197,195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6,468,634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6,377,009</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6,600,407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 forma net loss per share, basic and diluted (unaudited)</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Shares used in computing pro forma net loss per share, basic and</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20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8"/>
              </w:rPr>
              <w:t>16,197,067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22,816,303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00" w:right="20" w:hanging="414"/>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the statements of operations and Note 10 to our financial statements and Note 8 to our unaudited interim condensed financial statements for further details on the calculation of net loss per share and the unaudited pro forma net loss per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7002145" cy="4086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40862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As of March 31, 2018</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20" w:type="dxa"/>
            <w:vAlign w:val="bottom"/>
          </w:tcPr>
          <w:p>
            <w:pPr>
              <w:spacing w:after="0"/>
              <w:rPr>
                <w:sz w:val="10"/>
                <w:szCs w:val="10"/>
                <w:color w:val="auto"/>
              </w:rPr>
            </w:pPr>
          </w:p>
        </w:tc>
        <w:tc>
          <w:tcPr>
            <w:tcW w:w="10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Actual</w:t>
            </w:r>
          </w:p>
        </w:tc>
        <w:tc>
          <w:tcPr>
            <w:tcW w:w="18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320" w:type="dxa"/>
            <w:vAlign w:val="bottom"/>
          </w:tcPr>
          <w:p>
            <w:pPr>
              <w:spacing w:after="0"/>
              <w:rPr>
                <w:sz w:val="10"/>
                <w:szCs w:val="10"/>
                <w:color w:val="auto"/>
              </w:rPr>
            </w:pPr>
          </w:p>
        </w:tc>
        <w:tc>
          <w:tcPr>
            <w:tcW w:w="90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320" w:type="dxa"/>
            <w:vAlign w:val="bottom"/>
            <w:gridSpan w:val="3"/>
          </w:tcPr>
          <w:p>
            <w:pPr>
              <w:ind w:left="200"/>
              <w:spacing w:after="0"/>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12"/>
                <w:szCs w:val="12"/>
                <w:b w:val="1"/>
                <w:bCs w:val="1"/>
                <w:color w:val="auto"/>
                <w:w w:val="99"/>
              </w:rPr>
              <w:t>(2)(3)</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0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Cash, cash equivalents and short-term investments</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w w:val="96"/>
              </w:rPr>
              <w:t>$ 78,432</w:t>
            </w:r>
          </w:p>
        </w:tc>
        <w:tc>
          <w:tcPr>
            <w:tcW w:w="1820" w:type="dxa"/>
            <w:vAlign w:val="bottom"/>
          </w:tcPr>
          <w:p>
            <w:pPr>
              <w:jc w:val="right"/>
              <w:ind w:right="515"/>
              <w:spacing w:after="0"/>
              <w:rPr>
                <w:sz w:val="20"/>
                <w:szCs w:val="20"/>
                <w:color w:val="auto"/>
              </w:rPr>
            </w:pPr>
            <w:r>
              <w:rPr>
                <w:rFonts w:ascii="Arial" w:cs="Arial" w:eastAsia="Arial" w:hAnsi="Arial"/>
                <w:sz w:val="18"/>
                <w:szCs w:val="18"/>
                <w:color w:val="auto"/>
              </w:rPr>
              <w:t>$   78,432</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168,397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85,835</w:t>
            </w:r>
          </w:p>
        </w:tc>
        <w:tc>
          <w:tcPr>
            <w:tcW w:w="18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85,835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175,800</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65,835</w:t>
            </w:r>
          </w:p>
        </w:tc>
        <w:tc>
          <w:tcPr>
            <w:tcW w:w="1820" w:type="dxa"/>
            <w:vAlign w:val="bottom"/>
          </w:tcPr>
          <w:p>
            <w:pPr>
              <w:jc w:val="right"/>
              <w:ind w:right="515"/>
              <w:spacing w:after="0"/>
              <w:rPr>
                <w:sz w:val="20"/>
                <w:szCs w:val="20"/>
                <w:color w:val="auto"/>
              </w:rPr>
            </w:pPr>
            <w:r>
              <w:rPr>
                <w:rFonts w:ascii="Arial" w:cs="Arial" w:eastAsia="Arial" w:hAnsi="Arial"/>
                <w:sz w:val="18"/>
                <w:szCs w:val="18"/>
                <w:color w:val="auto"/>
              </w:rPr>
              <w:t>65,835</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155,800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16,731</w:t>
            </w:r>
          </w:p>
        </w:tc>
        <w:tc>
          <w:tcPr>
            <w:tcW w:w="18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16,731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16,731</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149,397</w:t>
            </w:r>
          </w:p>
        </w:tc>
        <w:tc>
          <w:tcPr>
            <w:tcW w:w="1820" w:type="dxa"/>
            <w:vAlign w:val="bottom"/>
          </w:tcPr>
          <w:p>
            <w:pPr>
              <w:jc w:val="right"/>
              <w:ind w:right="5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(84,174)</w:t>
            </w:r>
          </w:p>
        </w:tc>
        <w:tc>
          <w:tcPr>
            <w:tcW w:w="182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(84,174)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(84,174)</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(80,293)</w:t>
            </w:r>
          </w:p>
        </w:tc>
        <w:tc>
          <w:tcPr>
            <w:tcW w:w="1820" w:type="dxa"/>
            <w:vAlign w:val="bottom"/>
          </w:tcPr>
          <w:p>
            <w:pPr>
              <w:jc w:val="right"/>
              <w:ind w:right="515"/>
              <w:spacing w:after="0"/>
              <w:rPr>
                <w:sz w:val="20"/>
                <w:szCs w:val="20"/>
                <w:color w:val="auto"/>
              </w:rPr>
            </w:pPr>
            <w:r>
              <w:rPr>
                <w:rFonts w:ascii="Arial" w:cs="Arial" w:eastAsia="Arial" w:hAnsi="Arial"/>
                <w:sz w:val="18"/>
                <w:szCs w:val="18"/>
                <w:color w:val="auto"/>
              </w:rPr>
              <w:t>69,104</w:t>
            </w:r>
          </w:p>
        </w:tc>
        <w:tc>
          <w:tcPr>
            <w:tcW w:w="3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159,069</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800" w:hanging="414"/>
        <w:spacing w:after="0" w:line="25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 forma balance sheet data gives effect to (i) the conversion of all outstanding shares of preferred stock into 16,215,896 shares of common stock immediately upon the closing of this offering and (ii) the filing and effectiveness of our amended and restated certificate of incorporation that will be in effect upon the closing of this offering.</w:t>
      </w:r>
    </w:p>
    <w:p>
      <w:pPr>
        <w:jc w:val="both"/>
        <w:ind w:left="800" w:hanging="414"/>
        <w:spacing w:after="0" w:line="265"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pro forma as adjusted balance sheet data further reflects our receipt of net proceeds from the sale of 6,700,000 shares of common stock at the assumed initial public offering price of $15.00 per share, the midpoint of the price range set forth on the cover page of this prospectus, after deducting underwriting discounts and commissions and estimated offering expenses payable by us.</w:t>
      </w:r>
    </w:p>
    <w:p>
      <w:pPr>
        <w:jc w:val="both"/>
        <w:ind w:left="800" w:hanging="414"/>
        <w:spacing w:after="0" w:line="286"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$1.00 increase or decrease in the assumed initial public offering price of $15.00 per share, the midpoint of the price range set forth on the cover page of this prospectus, would increase or decrease, respectively, the amount of cash, cash equivalents and short-term investments, working capital, total assets and total stockholders’ equity by approximately $6.2 million, assuming the number of shares offered by us, as set forth on the cover page of this prospectus, remains the same and after deducting underwriting discounts and commissions and estimated offering expenses payable by us. We may also increase or decrease the number of shares we are offering. An increase or decrease of 1,000,000 in the number of shares we are offering would increase or decrease the amount of cash, cash equivalents and short-term investments, working capital, total assets and stockholders’ equity by approximately $14.0 million, assuming the assumed initial public offering price per share, the midpoint of the price range set forth on the cover page of this prospectus, remains the same and after deducting underwriting discounts and commissions. The pro forma as adjusted information is illustrative only, and will be adjusted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prospectus, including our financial statements and the related notes appearing at the end of this prospectus, before deciding to invest in our common stock. If any of the following risks actually occur, it could harm our business, prospects, operating results and financial condition.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might lose all or part of your investment.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incurred significant losses since inception and we anticipate that we may continue to incur losses for the foreseeable future and may never achieve or maintain profitability.</w:t>
      </w:r>
    </w:p>
    <w:p>
      <w:pPr>
        <w:spacing w:after="0" w:line="62"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are an immuno-oncology company with a limited operating history. Since inception in 2014, we have not generated any revenue and have incurred significant operating losses. Our net loss was $19.5 million, $44.9 million and $14.8 million for 2016, 2017 and the three months ended March 31, 2018, respectively. As of March 31, 2018, we had an accumulated deficit of $84.2 million. We expect to continue to incur significant expenses and increasing operating losses for the foreseeable future. Since inception, we have devoted substantially all of our efforts to research and preclinical and clinical development of our product candidates, as well as to building out our management team and infrastructure. It could be several years, if ever, before we have a commercialized drug. The net losses we incur may fluctuate significantly from quarter to quarter and year to year. We anticipate that our expenses will increase substantially if, and as, we:</w:t>
      </w:r>
    </w:p>
    <w:p>
      <w:pPr>
        <w:spacing w:after="0" w:line="95" w:lineRule="exact"/>
        <w:rPr>
          <w:sz w:val="20"/>
          <w:szCs w:val="20"/>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advance our research and clinical and preclinical development of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scale up manufacturing to provide adequate drug substance for clinical trials and commercialization;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further clinical trials for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 and obtain licenses to third-party intellectual property;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hire and retain additional administrative, clinical, regulatory and scientific personnel;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the additional costs associated with operating as a public company.</w:t>
      </w:r>
    </w:p>
    <w:p>
      <w:pPr>
        <w:spacing w:after="0" w:line="170"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In addition, because of the numerous risks and uncertainties associated with pharmaceutical products and development, we are unable to accurately predict the timing or amount of increased expenses or when, or if, we will be able to achieve profitability. Our expenses could increase and profitability could be further delayed if we decide to or are required by the FDA or other regulatory authorities such as the European Medicines Agency, or EMA, or the U.K. Medicines &amp; Healthcare Products Regulatory Agency, or MHRA, to perform studies or trials in addition to those currently expected, or if there are any delays in the development, or in the completion of any planned or future preclinical studies or clinical trials of our current and future product candidates. Even if we complete the development and regulatory processes described above, we anticipate incurring significant costs associated with launching and commercializing our current and future product candidates.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9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funding to pursue our business objectives. If we are unable to raise capital when needed or on terms favorable to us, we could be forced to delay, reduce or terminate our product development, other operations or commercialization efforts.</w:t>
      </w:r>
    </w:p>
    <w:p>
      <w:pPr>
        <w:spacing w:after="0" w:line="73"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time-consuming, expensive and uncertain process that takes years to complete, and we may never generate the necessary data or results required to obtain regulatory approval and begin selling any approved products. We expect our expenses to increase in connection with our ongoing activities, particularly as we continue to develop our product candidates. Our expenses could increase beyond our current expectations if the FDA requires us to perform clinical trials and other studies in addition to those that we currently anticipate. In addition, if we obtain marketing approval for any of our product candidates, we expect to incur significant commercialization expenses related to product sales, marketing, manufacturing and distribution.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w:t>
      </w:r>
    </w:p>
    <w:p>
      <w:pPr>
        <w:spacing w:after="0" w:line="179"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As of March 31, 2018, we had cash, cash equivalents and short-term investments of $78.4 million. Based upon our current operating plan, we believe that the net proceeds from this offering, together with our existing cash, cash equivalents and short-term investments, will enable us to fund our cash and capital expenditure requirements through at least the next 12 months from the date of this offering.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and changes in regulation. Our future capital requirements will depend on many factors, including:</w:t>
      </w:r>
    </w:p>
    <w:p>
      <w:pPr>
        <w:spacing w:after="0" w:line="99" w:lineRule="exact"/>
        <w:rPr>
          <w:sz w:val="20"/>
          <w:szCs w:val="20"/>
          <w:color w:val="auto"/>
        </w:rPr>
      </w:pPr>
    </w:p>
    <w:p>
      <w:pPr>
        <w:ind w:left="106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rate of progress, results and costs of drug discovery, preclinical development, laboratory testing and clinical trials for our product candidates;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 and other indications for our current product candidates that we may pursue;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developing our ability to establish sales and marketing capabilities, if any;</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defending intellectual property-related claims and obtaining licenses to third-party intellectual property;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we are required to make under our license agreements;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and associated intellectual property.</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Even if this offering is successful, we will require additional capital to complete our planned clinical development programs for our current product candidates to obtain regulatory approval. Any additional capital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raising efforts may divert our management from their day-to-day activities, which may adversely affect our ability to develop and commercialize our current and future product candidates, if approved.</w:t>
      </w:r>
    </w:p>
    <w:p>
      <w:pPr>
        <w:spacing w:after="0" w:line="170"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In addition, we cannot guarantee that future financing will be available on a timely basis, in sufficient amounts or on terms acceptable to us, if at all. Moreover, the terms of any financing may adversely affect the holdings or the rights of our stockholders and the issuance of additional securities by us, whether equity or debt, or the market perception that such issuances are likely to occur, could cause the market price of our common stock to decline. If we are unable to obtain funding on a timely basis on acceptable terms, we may be required to delay, reduce or terminate one or more of our research and development programs or the commercialization of any product candidates that may be approved.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proprietary rights.</w:t>
      </w:r>
    </w:p>
    <w:p>
      <w:pPr>
        <w:spacing w:after="0" w:line="129"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58"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reduce or terminate our product development or future commercialization efforts or grant rights to third parties to develop and market product candidates that we would otherwise prefer to develop and market ourselves.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b w:val="1"/>
          <w:bCs w:val="1"/>
          <w:i w:val="1"/>
          <w:iCs w:val="1"/>
          <w:color w:val="auto"/>
        </w:rPr>
        <w:t>We depend primarily on the success of our lead product candidate, 5F9, which is in clinical development and which has not completed a pivotal trial. If we do not obtain regulatory approval for and successfully commercialize our lead product candidate in one or more indications or we experience significant delays in doing so, we may never generate any revenue or become profitable.</w:t>
      </w:r>
    </w:p>
    <w:p>
      <w:pPr>
        <w:spacing w:after="0" w:line="166"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5F9, in our six ongoing clinical trials, including trials in monotherapy and in combination with anti-cancer antibodies such as rituximab and cetuximab. As a result, our business currently depends heavily on the successful development, regulatory approval and, if approved, commercialization of 5F9 in one or more of these indications. We cannot be certain that 5F9 will receive regulatory approval or will be successfully commercialized even if it receives regulatory approval. The research, testing, manufacturing, safety, efficacy, labeling, approval, sale, marketing and distribution of 5F9 is, and will remain, subject to comprehensive regulation by the FDA and similar foreign regulatory authorities. Before obtaining regulatory approvals for the commercial sale of any product candidate, we must demonstrate through preclinical studies and clinical trials that the product candidate is safe and effective for use in each target indication. Drug development is a long, expensive and uncertain process, and delay or failure can occur at any stage of any of our clinical trials. Failure to obtain regulatory approval for our product candidates in the United States will prevent us from commercializing and marketing our product candidates. The success of 5F9 and any other product candidates will depend on several additional factors, including:</w:t>
      </w:r>
    </w:p>
    <w:p>
      <w:pPr>
        <w:spacing w:after="0" w:line="78" w:lineRule="exact"/>
        <w:rPr>
          <w:sz w:val="20"/>
          <w:szCs w:val="20"/>
          <w:color w:val="auto"/>
        </w:rPr>
      </w:pPr>
    </w:p>
    <w:p>
      <w:pPr>
        <w:ind w:left="5620" w:right="5300" w:hanging="4984"/>
        <w:spacing w:after="0" w:line="536" w:lineRule="auto"/>
        <w:tabs>
          <w:tab w:leader="none" w:pos="10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completing clinical trials that demonstrate their efficacy and safety; 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any post-marketing studies required by applicable regulatory authorities;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for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competing effectively with other therapies, including with respect to the sales and marketing of our product candidates, if approved; and</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qualifying for, maintaining, enforcing and defending our intellectual property rights and claims and obtaining licenses to any third party intellectual property we deem necessary or desirable.</w:t>
      </w:r>
    </w:p>
    <w:p>
      <w:pPr>
        <w:spacing w:after="0" w:line="170"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Many of these factors are beyond our control, including the time needed to adequately complete clinical testing, the regulatory submission process, potential threats to our intellectual property rights and changes in the competitive landscape.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complete clinical trials, obtain regulatory approval or, if approved, commercialize our product candidates, which would materially harm our business, financial condition and results of operations.</w:t>
      </w:r>
    </w:p>
    <w:p>
      <w:pPr>
        <w:spacing w:after="0" w:line="15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addition, the clinical trial requirements of the FDA, the EMA, the MHRA and other regulatory agencies and the criteria these regulators may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pharmaceutical or other product candidates.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product candidates are based on a novel technology, which makes it difficult to predict the time and cost of product candidate development.</w:t>
      </w:r>
    </w:p>
    <w:p>
      <w:pPr>
        <w:spacing w:after="0" w:line="140"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have concentrated our product research and development efforts on our novel therapeutic approach, and our future success depends on the successful development of our lead product candidate, 5F9, and other product candidates. There can be no assurance that any development problems we experience in the future related to our novel therapy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301"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w:t>
      </w:r>
    </w:p>
    <w:p>
      <w:pPr>
        <w:spacing w:after="0" w:line="38"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The risk of failure for our product candidates is high. It is impossible to predict when or if any of our product candidates will prove effective or safe in humans or will receive regulatory approval. To obtain the requisite regulatory approvals to market and sell any of our product candidates, we must demonstrate through extensive preclinical studies and clinical trials that our product candidates are safe and effective in humans for</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use in each target indication. Clinical testing is expensive and can take many years to complete, and the outcome is inherently uncertain. Failure can occur at any time during the clinical trial process.</w:t>
      </w:r>
    </w:p>
    <w:p>
      <w:pPr>
        <w:spacing w:after="0" w:line="170"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In addition, the results of preclinical studies and earlier clinical trials may not be predictive of the results of later-stage preclinical studies or clinical trials. The results generated to date in preclinical studies or clinical trials for our product candidates do not ensure that later preclinical studies or clinical trials will demonstrate similar results. We have limited clinical data for each of our product candidates. Product candidates in later stages of clinical trials may fail to show the desired safety and efficacy traits despite having progressed through preclinical and earlier stage clinical trials. For example, the favorable results of our ongoing trial of 5F9 in tumor targeting antibody combinations with rituximab may not be predictive of similar results in subsequent trials.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93"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preclinical studies or clinical trials of any of our product candidates, the development timeline and regulatory approval and commercialization prospects for our product candidates, and, correspondingly, our business and financial prospects, would be materially and adversely affected.</w:t>
      </w:r>
    </w:p>
    <w:p>
      <w:pPr>
        <w:spacing w:after="0" w:line="30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trials to demonstrate the safety and efficacy of the product candidate for its intended indications. Clinical trials are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60"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agreement or failing to agree on acceptable terms with prospective clinical research organizations, or CROs, and clinical trial sites;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opening sites and recruiting suitable patients to participate in our clinical trials;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or trial sites;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occurrence of serious adverse events associated with the product candidate that are viewed to outweigh its potential benefits; or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from future drug sales and regulatory and commercialization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milestones.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comparable drugs to market before we do, which could impair our ability to successfully commercialize our product candidates and may harm our business, financial condition, results of operations and prospects.</w:t>
      </w:r>
    </w:p>
    <w:p>
      <w:pPr>
        <w:spacing w:after="0" w:line="18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76"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drug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170"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Further, we, the FDA or an institutional review board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investigational new drug applications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29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6"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Other products focused on CD47 have had problems with toxicity.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8"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commitment to expensive additional safety studies prior to approval or post-marketing studies required by regulatory authorities of such product;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financial condition and results of operations.</w:t>
      </w:r>
    </w:p>
    <w:p>
      <w:pPr>
        <w:spacing w:after="0" w:line="27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62"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92"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health of the patient population required for analysis of the trial’s primary endpoints;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30" w:lineRule="exact"/>
        <w:rPr>
          <w:rFonts w:ascii="Arial" w:cs="Arial" w:eastAsia="Arial" w:hAnsi="Arial"/>
          <w:sz w:val="18"/>
          <w:szCs w:val="18"/>
          <w:color w:val="auto"/>
        </w:rPr>
      </w:pPr>
    </w:p>
    <w:p>
      <w:pPr>
        <w:ind w:left="5620" w:right="3140" w:hanging="4984"/>
        <w:spacing w:after="0" w:line="449" w:lineRule="auto"/>
        <w:tabs>
          <w:tab w:leader="none" w:pos="10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 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5"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 Moreover, because our product candidates represent a departure from more commonly used methods for cancer treatment, potential patients and their doctors may be inclined to use conventional therapies rather than enroll patients in any future clinical trial.</w:t>
      </w:r>
    </w:p>
    <w:p>
      <w:pPr>
        <w:spacing w:after="0" w:line="189"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279"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b w:val="1"/>
          <w:bCs w:val="1"/>
          <w:i w:val="1"/>
          <w:iCs w:val="1"/>
          <w:color w:val="auto"/>
        </w:rPr>
        <w:t>We have received Fast Track designations for 5F9 for the treatment of both relapsed and/or refractory DLBCL and relapsed and/or refractory FL, but such designations may not actually lead to a faster development or regulatory review or approval process.</w:t>
      </w:r>
    </w:p>
    <w:p>
      <w:pPr>
        <w:spacing w:after="0" w:line="38"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In April 2018, the FDA granted Fast Track designations to 5F9 for the treatment of both relapsed and/or refractory DLBCL and relapsed and/or refractory FL. If a drug is intended for the treatment of a serious condition and nonclinical or clinical data demonstrate the potential to address unmet medical need for such condition, a drug sponsor may apply for FDA Fast Track designation. Even though we received Fast Track designations for 5F9 for the treatment of both relapsed and/or refractory DLBCL and relapsed and/or refractory FL,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8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the licensors of the intellectual property related to our product candidates against certain intellectual property infringement claims.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92"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may be exposed to substantial liabilities. Physicians and patients may not comply with any warnings that identify known potential adverse effects and patients who should not use our product candidates.</w:t>
      </w:r>
    </w:p>
    <w:p>
      <w:pPr>
        <w:spacing w:after="0" w:line="170"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 on our own or together with collaborators.</w:t>
      </w:r>
    </w:p>
    <w:p>
      <w:pPr>
        <w:spacing w:after="0" w:line="62"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We have never commercialized a product candidate. Our operations to date have been limited to organizing and staffing our company, business planning, raising capital, acquiring the rights to our product candidates and undertaking preclinical studies and clinical trials of our product candidates. We currently have no sales force, marketing or distribution capabilities. To achieve commercial success of our product candidates, if any are approved, we will have to develop our own sales, marketing and supply capabilities or outsource these activities to a third party.</w:t>
      </w:r>
    </w:p>
    <w:p>
      <w:pPr>
        <w:spacing w:after="0" w:line="154"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29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immunotherapies for the treatment of cancer. There are other companies working to develop immunotherapies for the treatment of cancer including divisions of large pharmaceutical and biotechnology companies of various sizes.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6"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We are developing our initial product candidates for the treatment of cancer and currently none of these therapies are approved. 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physicians, patients and third-party payors. Insurers and other third-party payors may also encourage the use of generic products. We expect that if our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8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Competition may further increase as a result of advances in the commercial applicability of technologies and greater availability of capital for investment in these industries. We are aware that Celgene Corporation, Trillium Therapeutics Inc., Alexo Therapeutics Ltd, Arch Therapeutics, Inc., Surface Oncology, Inc., Novimmune SA, OSE Immunotherapeutics SA, Aurigene Discovery Technologies Ltd and others are developing drugs targeting the CD47 pathway that may have utility for the treatment of indications that we are targeting. Our competitors may succeed in developing, acquiring or licensing, on an exclusive basis, products that are more effective or less costly than any product candidate that we may develop.</w:t>
      </w:r>
    </w:p>
    <w:p>
      <w:pPr>
        <w:spacing w:after="0" w:line="158"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7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28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If 5F9 and any other future product candidates receive marketing approval, whether as a single agent or in combination with other therapies, they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If 5F9 and any other future product candidates do not achieve an adequate level of acceptance, we may not generate significant product revenues and we may not become profitable. The degree of market acceptance of 5F9 and any future products, if approved for commercial sale, will depend on a number of factors, including:</w:t>
      </w:r>
    </w:p>
    <w:p>
      <w:pPr>
        <w:spacing w:after="0" w:line="84"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sufficient third-party coverage or reimbursement, including of combination therapies;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340" w:lineRule="auto"/>
        <w:rPr>
          <w:sz w:val="20"/>
          <w:szCs w:val="20"/>
          <w:color w:val="auto"/>
        </w:rPr>
      </w:pPr>
      <w:r>
        <w:rPr>
          <w:rFonts w:ascii="Arial" w:cs="Arial" w:eastAsia="Arial" w:hAnsi="Arial"/>
          <w:sz w:val="15"/>
          <w:szCs w:val="15"/>
          <w:b w:val="1"/>
          <w:bCs w:val="1"/>
          <w:i w:val="1"/>
          <w:iCs w:val="1"/>
          <w:color w:val="auto"/>
        </w:rPr>
        <w:t>The successful commercialization of certain of our product candidates will depend in part on the extent to which governmental authorities and health insurers establish adequate coverage, reimbursement levels and pricing policies. Failure to obtain or maintain adequate coverage and reimbursement for our product candidates, if approved, could limit our ability to market those products and decrease our ability to generate revenue.</w:t>
      </w:r>
    </w:p>
    <w:p>
      <w:pPr>
        <w:spacing w:after="0" w:line="23"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and attract additional collaboration partners to invest in the development of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82"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66"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 care providers who use such therapies. It is difficult to predict at this time what third-party payors will decide with respect to the coverage and reimbursement for our product candidates.</w:t>
      </w:r>
    </w:p>
    <w:p>
      <w:pPr>
        <w:spacing w:after="0" w:line="165"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94"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3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62"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Even if the FDA approves the marketing of any product candidates that we develop, physicians, patients, third-party payors or the medical community may not accept or use them. Efforts to educate the medical community and third-party payors on the benefits of our product candidates may require significant resources and may not be successful. Market acceptance of 5F9 and our other product candidates, if any are approved, will depend on a number of factors, including, among others:</w:t>
      </w:r>
    </w:p>
    <w:p>
      <w:pPr>
        <w:spacing w:after="0" w:line="92"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ability of 5F9 and our other product candidates to treat cancer, as compared with other available drugs, treatments or therapies;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5F9 and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5F9 or our other product candidates by the FDA;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of the target patient population, and the willingness of the target patient population to try new therapies and of physicians to prescribe these therapies;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likelihood that the FDA may impose additional requirements that limit the promotion, advertising, distribution or sales of our product candidates.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market acceptance of our product candidates also will depend in part on the market acceptance of other immunotherapies for the treatment of cancer. While a number of other cancer immunotherapies have received regulatory approval and are being commercialized, our approach to targeting the CD47 pathway is novel.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5F9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5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 if we obtain regulatory approval for our product candidates, they will remain subject to ongoing regulatory oversight.</w:t>
      </w:r>
    </w:p>
    <w:p>
      <w:pPr>
        <w:spacing w:after="0" w:line="117"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Even if we obtain regulatory approval for any of our product candidates, they will be subject to extensive and ongoing regulatory requirements for manufacturing processes, labeling, packaging, distribution, adverse event reporting, storage, advertising, promotion, sampling and record-keeping. These requirements include submissions of safety and other post-marketing information and reports, registration, as well as continued compliance with current good manufacturing practices, or cGMP, regulations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78"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Moreover, 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w:t>
      </w:r>
    </w:p>
    <w:p>
      <w:pPr>
        <w:spacing w:after="0" w:line="83"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issuing warning or untitled letters;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seeking an injunction or imposing civil or criminal penalties or monetary fines;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product manufacturing;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seizure or detention of products, refusal to permit the import or export of products, or request that we initiate a product recall;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withdrawal of our marketing authorizations;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applications submitted by us;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requiring us to conduct additional clinical trials, change our product labeling or submit additional applications for marketing authorization.</w:t>
      </w:r>
    </w:p>
    <w:p>
      <w:pPr>
        <w:spacing w:after="0" w:line="24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adversely affect our business, financial condition and results of operations.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establish sales and marketing capabilities or enter into agreements with third parties to sell and market our product candidates, we will be unable to successfully commercialize our product candidates if and when they are approved.</w:t>
      </w:r>
    </w:p>
    <w:p>
      <w:pPr>
        <w:spacing w:after="0" w:line="73"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In the future, we may choose to build a focused sales and marketing infrastructure to sell, or participate in sales activities with our collaborators for, some of our product candidates if and when they are approved.</w:t>
      </w:r>
    </w:p>
    <w:p>
      <w:pPr>
        <w:spacing w:after="0" w:line="17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131"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 candidates;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revenues or the profitability of these product revenues to us are likely to be lower than if we were to market and sell any products that we develop ourselves. In addition, we may not be successful in entering into arrangements with third parties to sell and market our product candidates or may be unable to do so on terms that are favorable to us. In entering into third-party marketing or distribution arrangements, any revenue we receive will depend upon the efforts of the third parties and we cannot assure you that such third parties will establish adequate sales and distribution capabilities or devote the necessary resources and attention to sell and market our product candidates effectively. If we do not establish sales and marketing capabilities successfully, either on our own or in collaboration with third parties, we will not be successful in commercializing our product candidates.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do not have our own manufacturing capabilities and will rely on third parties to produce clinical and commercial supplies of 5F9 and any future product candidate.</w:t>
      </w:r>
    </w:p>
    <w:p>
      <w:pPr>
        <w:spacing w:after="0" w:line="62"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We have limited experience in drug formulation and manufacturing and do not own or operate, and we do not expect to own or operate, facilities for drug manufacturing, storage, distribution, or testing. We have entered into a development and manufacturing agreement with Lonza, pursuant to which we agreed to purchase 5F9. Lonza is currently our sole supplier of 5F9. If Lonza is unable to supply us with sufficient clinical and commercial grade quantities of 5F9, and we are unable to timely establish an alternate supply from one or more third-party contract manufacturers, we could experience delays in our development efforts as we locate and qualify new manufacturers. Under such circumstances, we may be required to receive drug substance for use on a purchase order basis, and as such, there can be no assurance that we actually receive sufficient quantities.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Further, our reliance on third-party manufacturers exposes us to risks beyond our control, including the risk of:</w:t>
      </w:r>
    </w:p>
    <w:p>
      <w:pPr>
        <w:spacing w:after="0" w:line="131"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meet our drug specifications and quality requirements consistently;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inability to procure or expand sufficient manufacturing capacity;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and drug quality issues, including related to scale-up of manufacturing;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additional scale-up;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comply with cGMP and similar foreign standards;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42" w:lineRule="exact"/>
        <w:rPr>
          <w:rFonts w:ascii="Arial" w:cs="Arial" w:eastAsia="Arial" w:hAnsi="Arial"/>
          <w:sz w:val="17"/>
          <w:szCs w:val="17"/>
          <w:color w:val="auto"/>
        </w:rPr>
      </w:pPr>
    </w:p>
    <w:p>
      <w:pPr>
        <w:jc w:val="both"/>
        <w:ind w:left="1060" w:hanging="424"/>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a limited number of sources, and in some cases, single sources for drug components, such that if we are unable to secure a sufficient supply of these drug components, we will be unable to manufacture and sell 5F9 or any future product candidate in a timely fashion, in sufficient quantities or under acceptable terms;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qualified backup suppliers for those components that are currently purchased from a sole or single source supplier;</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or the issuance of a FDA Form 483 notice or warning letter;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225"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Some of these events could be the basis for FDA action, including injunction, recall, seizure, or total or partial suspension of production. In addition, our third-party manufacturers and suppliers are subject to FDA inspection from time to time. Failure by our third-party manufacturers and suppliers to pass such inspections and otherwise satisfactorily complete the FDA approval regimen with respect to our product candidate may result in regulatory actions such as the issuance of FDA Form 483 notices of observations, warning letters or injunctions or the loss of operating licenses. 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the regulatory action, our clinical or commercial supply of drug and packaging and other services could be interrupted or limited, which could harm our business.</w:t>
      </w:r>
    </w:p>
    <w:p>
      <w:pPr>
        <w:spacing w:after="0" w:line="166"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In addition, our contract manufacturers are or may be engaged with other companies to supply and manufacture materials or products for such companies, which also exposes our suppliers and manufacturers to regulatory risks for the production of such materials and products. As a result, failure to meet the regulatory requirements for the production of those materials and products may also affect the regulatory clearance of a contract supplier’s or manufacturer’s facility. If the FDA or a comparable foreign regulatory agency does not approve these facilities for the supply or manufacture of our product candidates, or if it withdraws its approval in the future, we may need to find alternative supply or manufacturing facilities, which would negatively impact our ability to develop, obtain regulatory approval of or market our product candidates, if approved.</w:t>
      </w:r>
    </w:p>
    <w:p>
      <w:pPr>
        <w:spacing w:after="0" w:line="17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which may include transferring production to new</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third-party suppliers or manufacturers. In order to conduct larger or late-stage scale clinical trials for our product candidates and supply sufficient commercial quantities of the resulting drug product and its components, if that product candidate is approved for sale, our contract manufacturers and suppliers will need to produce our product candidates in larger quantities, more cost effectively and, in certain cases, at higher yields than they currently achieve. These third-party contractors may not be able to successfully increase the manufacturing capacity for any such product candidates in a timely or cost-effective manner or at all. Significant scale up of manufacturing may require additional processes, technologies and validation studies, which are costly, may not be successful and which the FDA and foreign regulatory authorities must review and approve. In addition, quality issues may arise during those scale-up activities because of the inherent properties of a product candidate itself or of a product candidate in combination with other components added during the manufacturing and packaging process, or during shipping and storage of the active pharmaceutical ingredients or the finished product. If our third-party contractors are unable to successfully scale up the manufacture of any of our product candidates in sufficient quality and quantity and at commercially reasonable prices, and we are unable to find one or more replacement suppliers or manufacturers capable of production at a substantially equivalent cost in substantially equivalent volumes and quality, and we are unable to successfully transfer the processes on a timely basis, the development of that product candidate and regulatory approval or commercial launch for any resulting products may be delayed, or there may be a shortage in supply, either of which could significantly harm our business, financial condition, operating results and prospects.</w:t>
      </w:r>
    </w:p>
    <w:p>
      <w:pPr>
        <w:spacing w:after="0" w:line="175"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Any of these events could lead to clinical trial delays, failure to obtain regulatory approval or impact our ability to successfully commercialize any potential future product candidates.</w:t>
      </w:r>
    </w:p>
    <w:p>
      <w:pPr>
        <w:spacing w:after="0" w:line="27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and if these third parties perform in an unsatisfactory manner, our business could be substantially harmed.</w:t>
      </w:r>
    </w:p>
    <w:p>
      <w:pPr>
        <w:spacing w:after="0" w:line="62"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intend to conduct our future clinical trials using our own clinical resources while also leveraging expertise and assistance from CROs as appropriate. We do not currently have the ability to independently conduct large-scale clinical trials, such as a Phase 3 clinical trial, without outside assistance.</w:t>
      </w:r>
    </w:p>
    <w:p>
      <w:pPr>
        <w:spacing w:after="0" w:line="18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have relied upon and plan to continue to rely upon medical institutions, clinical investigators, contract laboratories and other third parties, such as CROs, to conduct or assist us in conducting GCP-compliant clinical trials on our product candidates properly and on time, and may not currently have all of the necessary contractual relationships in place to do so. Once we have established contractual relationships with such third-party CROs, we will have only limited control over their actual performance of these activities.</w:t>
      </w:r>
    </w:p>
    <w:p>
      <w:pPr>
        <w:spacing w:after="0" w:line="187"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We and our CROs and other vendors are required to comply with cGMP, GCP and good laboratory practices, or GLP, which are regulations and guidelines enforced by the FDA, the Competent Authorities of the Member States of the European Union and any comparable foreign regulatory authorities for all of our product candidates in preclinical and clinical development. Regulatory authorities enforce these regulations through periodic inspections of trial sponsors, principal investigators, clinical trial sites and other contractors. Although we rely on CROs to conduct any current or planned GLP-compliant preclinical studies and GCP-compliant clinical trials and have limited influence over their actual performance,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 If we or any of our CROs or vendors fail to comply with applicable regulations, the data generated in our preclinical studies and clinical trials may be deemed unreliable and the FDA, EMA, MHRA or any comparable foreign regulatory agency may require us to perform additional preclinical studies and clinical trials before approving our marketing applications. We cannot assure you that upon inspection by a given regulatory agency, such regulatory agency will determine that all of our clinical trials comply with GCP regulations. In addition, our clinical trials must be conducted with products produced under cGMP requirements. Our failure to comply with these requirements may require us to repeat clinical trials, which would delay the regulatory approval process.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While we will have agreements governing their activities, our CROs will not be our employees, and we will not be able to control whether or not they devote sufficient time and resources to our future preclinical and 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 CROs also may use our proprietary information and intellectual property in such a way as to invite litigation or other intellectual property-related proceedings that could jeopardize or invalidate our proprietary information and intellectual property.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 our clinical trials may be extended, delayed or terminated, the clinical data generated in our clinical trials may be deemed unreliable,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spacing w:after="0" w:line="180"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If our relationships with these CROs terminate, we may not be able to enter into arrangements with alternative CROs or do so on commercially reasonable terms. Switching or adding additional CROs involves substantial cost and requires management time and focus, and could delay development and commercialization of our product candidates. In addition, there is a natural transition period when a new CRO commences work. As a result, delays occur, which can negatively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negative impact on our business and financial condition.</w:t>
      </w:r>
    </w:p>
    <w:p>
      <w:pPr>
        <w:spacing w:after="0" w:line="28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If we are not able to maintain our current collaborations and establish further collaborations, we may have to alter some of our future development and commercialization plans.</w:t>
      </w:r>
    </w:p>
    <w:p>
      <w:pPr>
        <w:spacing w:after="0" w:line="62"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Our product development programs and the potential commercialization of our product candidates will require substantial additional capital to fund expenses. We have entered into collaboration agreements with pharmaceutical and biotechnology companies for certain combination therapies with 5F9 and may decide to collaborate for the future development and potential commercialization of other product candidates. For example, we have an ongoing combination clinical trial in ovarian cancer with Merck KGaA and combination clinical trials planned in in AML and bladder cancer with Genentech. Furthermore, we may find that our programs require the use of proprietary rights held by third parties, and the growth of our business may depend in part on our ability to acquire, in-license or use these proprietary rights. We will likely have limited control over the amount and timing of resources that our collaborators dedicate to the development or commercialization of any product candidates we may seek to develop with them. We cannot predict the success of any collaboration that we have entered into or will enter into.</w:t>
      </w:r>
    </w:p>
    <w:p>
      <w:pPr>
        <w:spacing w:after="0" w:line="179"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MHRA or similar foreign regulatory authorities, the potential market for the subject product candidate, the costs and complexities of manufacturing and delivering such product candidate to patients, competing products, the existence of uncertainty with respect to our ownership of</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8"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We may not be able to negotiate further collaborations on a timely basis, on acceptable terms, or at all. Even if we are able to obtain a license to intellectual property of interest, we may not be able to secure exclusive rights, in which case others could use the same rights and compete with us. Our existing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Doing so will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these contractual agreements with third parties, sharing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harm our business.</w:t>
      </w:r>
    </w:p>
    <w:p>
      <w:pPr>
        <w:spacing w:after="0" w:line="166"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Regulatory Compliance</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affect the prices we may charge for such product candidates.</w:t>
      </w:r>
    </w:p>
    <w:p>
      <w:pPr>
        <w:spacing w:after="0" w:line="62"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candidates, restrict or regulate post-approval activities and affect our ability to profitably sell any product for which we obtain marketing approval.</w:t>
      </w:r>
    </w:p>
    <w:p>
      <w:pPr>
        <w:spacing w:after="0" w:line="237"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In March 2010, the Patient Protection and Affordable Care Act, as amended by the Health Care and Education Reconciliation Act of 2010, or collectively, the Affordable Care Act, was enacted, which includes measures that have significantly changed the way health care is financed by both governmental and private insurers. Some of the provisions of the Affordable Care Act have yet to be implemented, and there have been judicial and congressional challenges to certain aspects of the Affordable Care Act.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U.S. House of Representatives passed legislation known as the American Health Care Act of 2017 in May 2017. More recently, the Senate Republicans introduced and then updated a bill to replace the Affordable Care Act known as the Better Care Reconciliation Act of 2017. The Senate Republicans also introduced legislation to repeal the Affordable Care Act without companion legislation to replace it, and a “skinny” version of the Better Care Reconciliation Act of 2017. Each of these measures was rejected by the full Senate. Congress will likely consider other legislation to replace elements of the Affordable Care Act. We continue to evaluate the effect that the ACA and its possible repeal and replacement has on our business.</w:t>
      </w:r>
    </w:p>
    <w:p>
      <w:pPr>
        <w:spacing w:after="0" w:line="180"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For example, in August 2011, then-President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Recently,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2"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9"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physicians and others play a primary role in the recommendation and prescription of any products for which we obtain marketing approval. These laws may impact, among other things, our current business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include:</w:t>
      </w:r>
    </w:p>
    <w:p>
      <w:pPr>
        <w:spacing w:after="0" w:line="64" w:lineRule="exact"/>
        <w:rPr>
          <w:sz w:val="20"/>
          <w:szCs w:val="20"/>
          <w:color w:val="auto"/>
        </w:rPr>
      </w:pPr>
    </w:p>
    <w:p>
      <w:pPr>
        <w:jc w:val="both"/>
        <w:ind w:left="1060" w:hanging="424"/>
        <w:spacing w:after="0" w:line="255"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98" w:lineRule="exact"/>
        <w:rPr>
          <w:rFonts w:ascii="Arial" w:cs="Arial" w:eastAsia="Arial" w:hAnsi="Arial"/>
          <w:sz w:val="18"/>
          <w:szCs w:val="18"/>
          <w:color w:val="auto"/>
        </w:rPr>
      </w:pPr>
    </w:p>
    <w:p>
      <w:pPr>
        <w:jc w:val="both"/>
        <w:ind w:left="1060" w:hanging="424"/>
        <w:spacing w:after="0" w:line="255"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94" w:lineRule="exact"/>
        <w:rPr>
          <w:rFonts w:ascii="Arial" w:cs="Arial" w:eastAsia="Arial" w:hAnsi="Arial"/>
          <w:sz w:val="18"/>
          <w:szCs w:val="18"/>
          <w:color w:val="auto"/>
        </w:rPr>
      </w:pPr>
    </w:p>
    <w:p>
      <w:pPr>
        <w:jc w:val="both"/>
        <w:ind w:left="1060" w:hanging="424"/>
        <w:spacing w:after="0" w:line="276"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7" w:lineRule="exact"/>
        <w:rPr>
          <w:rFonts w:ascii="Arial" w:cs="Arial" w:eastAsia="Arial" w:hAnsi="Arial"/>
          <w:sz w:val="17"/>
          <w:szCs w:val="17"/>
          <w:color w:val="auto"/>
        </w:rPr>
      </w:pPr>
    </w:p>
    <w:p>
      <w:pPr>
        <w:jc w:val="both"/>
        <w:ind w:left="1060" w:hanging="424"/>
        <w:spacing w:after="0" w:line="25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and as amended again by the Modifications to the HIPAA Privacy, Security, Enforcement and Breach Notification Rules Under HITECH and the Genetic Information Nondiscrimination Act; Other Modifications to the HIPAA Rules, commonly referred to as the Final HIPAA Omnibus Rule, published in January 2013, which imposes certain obligations, including mandatory contractual terms, with respect to safeguarding the privacy, security and transmission of individually identifiable health information without appropriate authorization by covered entities subject to the Final HIPAA Omnibus Rule, i.e. health plans, healthcare clearinghouses and healthcare providers, as well as their business associates that perform certain services for or on their behalf involving the use or disclosure of individually identifiable health information;</w:t>
      </w:r>
    </w:p>
    <w:p>
      <w:pPr>
        <w:spacing w:after="0" w:line="97"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Federal Food, Drug and Cosmetic Act,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jc w:val="both"/>
        <w:ind w:left="1060" w:hanging="424"/>
        <w:spacing w:after="0" w:line="297"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60" w:hanging="424"/>
        <w:spacing w:after="0" w:line="270"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87"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individual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have obtained orphan drug designation in the United States and Europe for use of 5F9 in treating AML. We may seek orphan drug designation for other product candidates in the future.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88"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orphan drug exclusivity for the use of 5F9 in treating AML is contingent upon a showing that 5F9 is clinically superior to existing treatments of AML. Clinical superiority may be demonstrated by showing that a drug has greater effectiveness than the approved drug, greater safety in a substantial portion of the target population, or otherwise makes a major contribution to patient care. If we are unable to demonstrate that the use of 5F9 in treating AML is clinically superior to existing treatments, we will not be entitled to the benefits of orphan drug exclusivity, which could adversely affect our business and our ability to market and sell 5F9 if it is approved for sale.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the same indication during that time period. The applicable period is seven years in the United States and ten years in the European Union.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We cannot assure you that any future application for orphan drug designation with respect to any other product candidate will be granted. If we are unable to obtain orphan drug designation with respect to other product candidates in the United States, we will not be eligible to obtain the period of market exclusivity that could result from orphan drug designation or be afforded the financial incentives associated with orphan drug designation. Even when we obtain orphan drug exclusivity for a product, that exclusivity may not effectively protect the product from competition because different drugs can be approved for the same condition. Even after an orphan drug is approved, the FDA can subsequently approve a later drug for the same condition if the FDA concludes that the later drug is clinically superior in that it is shown to be safer, more effective or makes a major contribution to patient care.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If we are unable to obtain and maintain sufficient patent and other intellectual property protection for our product candidates and technology, we may not be able to compete effectively in our market.</w:t>
      </w:r>
    </w:p>
    <w:p>
      <w:pPr>
        <w:spacing w:after="0" w:line="62"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Our success depends in significant part on our ability and the ability of our licensors and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We have licensed a patent estate from The Board of Trustees of the Leland Stanford Junior University, or Stanford. For more information, see “Business—License and Collaboration Agreements.” In addition, we have filed our own patent applications, and as of March 31, 2018, the only patent applications solely owned by us are provisional patent applications, and we do not own any issued patents. Provisional patent applications are not eligible to become issued patents until, among other things, we file a non-provisional patent application within 12 months of filing of one or more of our related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93"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We have also licensed patent and other intellectual property rights to and from our partners. Some of these licenses give us the right to prepare, file and prosecute patent applications and maintain and enforce patents we have licensed, whereas other licenses may not give us such rights. In some circumstances, we may not have the right to control the preparation, filing and prosecution of patent applications or to maintain the patents covering technology that we license to or from our partners, and we may have to rely on our partners to fulfill these responsibilities. Consequently,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79"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patent prosecution process is expensive and time-consuming. We and our current or future licensors, licensees or collaborators may not be able to prepare, file and prosecute all necessary or desirable patent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applications at a reasonable cost or in a timely manner. It is also possible that we or our licensors will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w:t>
      </w:r>
    </w:p>
    <w:p>
      <w:pPr>
        <w:spacing w:after="0" w:line="169"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The patent position of biotechnology and pharmaceutical companies generally is uncertain, involves complex legal and factual questions and is the subject of much litigation. As a result, the issuance, scope, validity, enforceability and commercial value of our and our current or future licensors’ patent rights are uncertain. Our and our licensors’ pending and future patent applications may not result in patents being issued that protect our technology or products, in whole or in part, or which effectively exclude others from commercializing competitive technologies and products. The patent examination process may require us or our licensors to narrow the scope of the claims of our pending and future patent applications, and therefore, even if such patent applications issue as patents, they may not issue in a form that will provide us with any meaningful protection, prevent competitors or other third parties from competing with us, or otherwise provide us with any competitive advantage. Our and our licensors’ patent applications cannot be enforced against third parties practicing the technology claimed in such applications unless and until a patent issues from such applications, and then only to the extent the issued claims cover such technology. Any of the foregoing could harm our competitive position, business, financial condition, results of operations and prospects.</w:t>
      </w:r>
    </w:p>
    <w:p>
      <w:pPr>
        <w:spacing w:after="0" w:line="286"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The patent protection we obtain for our product candidates and technology may be challenged or not sufficient enough to provide us with any competitive advantage.</w:t>
      </w:r>
    </w:p>
    <w:p>
      <w:pPr>
        <w:spacing w:after="0" w:line="62"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 xml:space="preserve">Even if our owned or licensed patent applications issue as patents, the issuance of any such patents is not conclusive as to their inventorship, scope, validity, or enforceability, and such patents may be challenged, invalidated or held to be unenforceable, including in the courts or patent offices in the United States and abroad, or circumvented. We may be subject to a third party preissuance submission of prior art to the United States Patent and Trademark Office, or USPTO, or equivalent foreign bodies, or become involved in opposition, derivation, revocation, re-examination, post-grant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For example, we are aware of an opposition proceeding filed in the European Patent Office, or the EPO, by different third parties against a European patent that we exclusively in-license from Stanford that relates to the treatment of cancer with certain anti-CD47 antibodies or anti-SIRPa antibodies. For more information regarding this proceeding, see “Business—Intellectual Property.” We are also aware of an opposition proceeding filed in the EPO by a third party against a different European patent that we exclusively in-license from Stanford that relates to hematopoietic stem cell transplantation with anti-CKIT antibodies. One or more of the third parties that have filed oppositions against these patents or other third parties may file future oppositions or other challenges, in Europe or other</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jurisdictions, against other patents that we in-license or own. Such proceedings and any other patent challenges may result in loss of patent rights, loss of exclusivity, loss of priority,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Any of the foregoing could harm our business, financial condition, results of operations and prospects.</w:t>
      </w:r>
    </w:p>
    <w:p>
      <w:pPr>
        <w:spacing w:after="0" w:line="173"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portfolios may not provide us with adequate protection against third parties seeking to commercialize products similar or identical to ours. We expect to request extensions of patent terms to the extent available in countries where we obtain issued patents. In the United States, the Drug Price Competition and Patent Term Restoration Act of 1984 permits a patent term extension of up to five years beyond the expiration of the patent. However, there are no assurances that the FDA or any comparable foreign regulatory authority or national patent office will grant such extensions, in whole or in part. In such case, our competitors may launch their products earlier than might otherwise be anticipated. Moreover, some of our owned or in-licensed patents and patent applications are, and may in the future be, co-owned with third parties. If we are unable to obtain an exclusive license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w:t>
      </w:r>
    </w:p>
    <w:p>
      <w:pPr>
        <w:spacing w:after="0" w:line="183"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In addition, our owned and in-licensed patents may be subject to a reservation of rights by one or more third parties. For example, our license to certain intellectual property owned by Stanford is subject to certain rights Stanford granted to third parties prior to our license agreement. In addition, the research resulting in certain of our owned and in-licensed patent rights and technology was funded in part by the U.S. federal or state governments, including our grants from the California Institute for Regenerative Medicine, or CIRM.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also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288"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b w:val="1"/>
          <w:bCs w:val="1"/>
          <w:i w:val="1"/>
          <w:iCs w:val="1"/>
          <w:color w:val="auto"/>
        </w:rPr>
        <w:t>We are heavily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deadlines, we could lose license rights that are important to our business.</w:t>
      </w:r>
    </w:p>
    <w:p>
      <w:pPr>
        <w:spacing w:after="0" w:line="63"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are heavily reliant upon licenses to certain patent rights and other intellectual property from third parties that are important or necessary to the development of our product candidates, including 5F9. For example, in November 2015 we entered into a license agreement with Stanford under which we are granted rights to intellectual property that are necessary to the development and commercialization of 5F9 and are otherwise important to our business. We may also need to obtain additional licenses to advance the development and commercialization of other product candidates we may develop. Our existing license agreement with Stanford imposes, and we expect that future license agreements will impose, upon us various development, regulatory and/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or commercial diligence obligations, payment of milestones and/or royalties and other obligations. If we fail to comply with our obligations under these agreements, or we are subject to a bankruptcy-related event, the licensor may have the right to terminate the license, in which event we would not be able to develop, market or otherwise commercialize products covered by the license, including 5F9 if any of the foregoing were to occur with respect to our license with Stanford.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For more information regarding our license agreements, see “Business—License and Collaboration Agreements.”</w:t>
      </w:r>
    </w:p>
    <w:p>
      <w:pPr>
        <w:spacing w:after="0" w:line="16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licensors regarding intellectual property subject to a license agreement, including:</w:t>
      </w:r>
    </w:p>
    <w:p>
      <w:pPr>
        <w:spacing w:after="0" w:line="87"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225"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8"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We may enter into additional licenses to third-party intellectual property that are necessary or useful to our business. Our current licenses and any future licenses that we may enter into impose various royalty payment, milestone and other obligations on us. Under some license agreements, we may not control prosecution of the licensed intellectual property, or may not have the first right to enforce the intellectual property. In those cases, we may not be able to adequately influence patent prosecution or enforcement, or prevent inadvertent lapses of coverage due to failure to pay maintenance fees. If we fail to comply with any of our obligations under a current or future license agreement, the licensor may allege that we have breached our license agreement, and may accordingly seek to terminate our license.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 Under some license agreements, termination may also result in the transfer or granting of rights under certain of our intellectual property and information related to the product candidate being developed under the license, such as regulatory information.</w:t>
      </w:r>
    </w:p>
    <w:p>
      <w:pPr>
        <w:spacing w:after="0" w:line="17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competitive position, financial condition, results of operations and prospects could be materially harmed.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spacing w:after="0" w:line="16"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78" w:lineRule="exact"/>
        <w:rPr>
          <w:sz w:val="20"/>
          <w:szCs w:val="20"/>
          <w:color w:val="auto"/>
        </w:rPr>
      </w:pPr>
    </w:p>
    <w:p>
      <w:pPr>
        <w:jc w:val="both"/>
        <w:ind w:left="200" w:firstLine="441"/>
        <w:spacing w:after="0" w:line="268" w:lineRule="auto"/>
        <w:rPr>
          <w:sz w:val="20"/>
          <w:szCs w:val="20"/>
          <w:color w:val="auto"/>
        </w:rPr>
      </w:pPr>
      <w:r>
        <w:rPr>
          <w:rFonts w:ascii="Arial" w:cs="Arial" w:eastAsia="Arial" w:hAnsi="Arial"/>
          <w:sz w:val="17"/>
          <w:szCs w:val="17"/>
          <w:color w:val="auto"/>
        </w:rPr>
        <w:t xml:space="preserve">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derivation proceedings and equivalent proceedings in foreign jurisdictions (</w:t>
      </w:r>
      <w:r>
        <w:rPr>
          <w:rFonts w:ascii="Arial" w:cs="Arial" w:eastAsia="Arial" w:hAnsi="Arial"/>
          <w:sz w:val="17"/>
          <w:szCs w:val="17"/>
          <w:i w:val="1"/>
          <w:iCs w:val="1"/>
          <w:color w:val="auto"/>
        </w:rPr>
        <w:t>e.g.</w:t>
      </w:r>
      <w:r>
        <w:rPr>
          <w:rFonts w:ascii="Arial" w:cs="Arial" w:eastAsia="Arial" w:hAnsi="Arial"/>
          <w:sz w:val="17"/>
          <w:szCs w:val="17"/>
          <w:color w:val="auto"/>
        </w:rPr>
        <w:t>,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materially harm our business, financial condition, results of operations and prospects.</w:t>
      </w:r>
    </w:p>
    <w:p>
      <w:pPr>
        <w:spacing w:after="0" w:line="18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8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0"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Most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drugs and may export otherwise infringing drugs to territories where we have patent protection, but enforcement rights are not as strong as those in the United States. These drugs may compete with our product candidates and our patents or other intellectual property rights may not be effective or sufficient to prevent them from competing.</w:t>
      </w:r>
    </w:p>
    <w:p>
      <w:pPr>
        <w:spacing w:after="0" w:line="166"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78"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Many countries, including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29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w:t>
      </w:r>
    </w:p>
    <w:p>
      <w:pPr>
        <w:spacing w:after="0" w:line="62"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product candidates in any jurisdiction. For example, U.S. patent applications filed before November 29, 2000 and certain U.S. patent applications filed after that date that will not be filed outside the United States remain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w:t>
      </w:r>
    </w:p>
    <w:p>
      <w:pPr>
        <w:spacing w:after="0" w:line="169"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7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62"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thereby giving our competitors access to the same technologies licensed to us.</w:t>
      </w:r>
    </w:p>
    <w:p>
      <w:pPr>
        <w:spacing w:after="0" w:line="189"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If we fail to comply with our obligations under our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spacing w:after="0" w:line="173"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29"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Obtaining and enforcing patents in the pharmaceutical industry is inherently uncertain, due in part to ongoing changes in the patent laws.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spacing w:after="0" w:line="165"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 xml:space="preserve">Recent patent reform legislation could increase the uncertainties and costs surrounding the prosecution of our and our licensors’ or collaborators’ patent applications and the enforcement or defense of our or our licensors’ or collaborators’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 party submission of prior art to the USPTO during patent prosecution and additional procedures to attack the validity of a patent by USPTO-administered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USPTO recently developed new regulations and</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all of which could harm our business, financial condition, results of operations and prospects.</w:t>
      </w:r>
    </w:p>
    <w:p>
      <w:pPr>
        <w:spacing w:after="0" w:line="296"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73"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Periodic maintenance and annuity fees on any issued patent are required to be paid to the USPTO and foreign patent agencies in several stages over the lifetime of a patent. In certain circumstances, we rely on our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many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market with similar or identical products or technology, which would harm our business, financial condition, results of operations and prospects.</w:t>
      </w:r>
    </w:p>
    <w:p>
      <w:pPr>
        <w:spacing w:after="0" w:line="286"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2"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drugs and technology, including re-examination, interference, post-grant review, inter partes review or derivation proceedings before the USPTO or an equivalent foreign body.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 regardless of their merit.</w:t>
      </w:r>
    </w:p>
    <w:p>
      <w:pPr>
        <w:spacing w:after="0" w:line="167"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92"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 xml:space="preserve">For example, we have filed third party observations in an opposition proceeding in the EPO with respect to a European patent and a petition for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of a U.S. patent in the USPTO, each of which is related to the treatment of cancer with an anti-CD47 antibody or an anti-SIRPa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antibody in combination with certain other antibodies, including rituximab or cetuximab. These patents are assigned to Stichting Sanquin Bloedvoorziening, or SSB, and SSB is reported to have licensed its rights in the patents to Synthon Biopharmaceuticals B.V., or Synthon. The opposition proceeding was rejected by the EPO and the opponent has appealed the decision. On June 4, 2018, we acquired the opposition against this European patent from the opponent. For more information regarding these proceedings and our acquisition of the opposition against this European patent, see “Business—Intellectual Property.” It is possible that the EPO may not agree with our third party observations and the appeal filed by the opponent, and that the European patent being challenged may be maintained in the EPO. It is also possible that the USPTO may deny our petition for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Even if the USPTO does grant our petition for</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it is possible that it will ultimately rule against us and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the claims of the U.S. patent we are challenging.</w:t>
      </w:r>
    </w:p>
    <w:p>
      <w:pPr>
        <w:spacing w:after="0" w:line="178"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If the USPTO or EPO rules against us in any or all of these proceedings and maintains the claims of the patents being challenged we may need to obtain licenses to such patents for, or risk litigation in connection with, our commercialization of 5F9 or other anti-CD47 antibodies or anti-SIRPa antibodies in combination with antibodies, including cetuximab for treatment of CRC and rituximab for treatment of NHL, both of which, we are currently investigating in clinical trials. Such licenses may not be available at all or may not be available on commercially reasonable terms such that we may be required to pay significant fees and royalties to secure licenses to the applicable patents. Moreover, such licenses may only be non-exclusive, in which case our ability to stop others from using or commercializing technology and products similar or identical to ours may be limited. If we are unable to obtain and maintain such licenses, we may need to cease the commercialization of 5F9 and other anti-CD47 antibodies or anti-SIRPa antibodies in combination with antibodies, including rituximab and cetuximab. The existing and any potential future legal proceedings relating to these patents could cause us to incur significant expenses, and could distract our technical and management personnel from their normal responsibilities. If we are unsuccessful in our challenges to these patents and become subject to litigation or are unable to obtain a license on commercially reasonable terms with respect to these patents, it could harm our business, financial condition, results of operations and prospects.</w:t>
      </w:r>
    </w:p>
    <w:p>
      <w:pPr>
        <w:spacing w:after="0" w:line="2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upon, misappropriated or otherwise violated their intellectual property rights, or claiming ownership of what we regard as our own intellectual property.</w:t>
      </w:r>
    </w:p>
    <w:p>
      <w:pPr>
        <w:spacing w:after="0" w:line="62"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Litigation may be necessary to defend against these claims.</w:t>
      </w:r>
    </w:p>
    <w:p>
      <w:pPr>
        <w:spacing w:after="0" w:line="18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addition, we or our licensors may be subject to claims that former employees, collaborators, or other third parties have an interest in our owned or in-licensed patents or other intellectual property as an inventor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co-inventor.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140"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We rely on trade secrets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6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make the inventions covered by the issued patent or pending patent application that we license or may own in the future;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or our current or future licensors might not have been the first to file patent applications covering certain of our or their inventions;</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Operations, Employee Matters and Managing Growth</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are highly dependent on the management, research and development, clinical, financial and business development expertise of our executive officers, as well as the other members of our scientific and clinical teams. Although we have employment offer letters with each of our executive officers, each of them may terminate their employment with us at any time. We do not maintain “key person” insurance for any of our executives or employees.</w:t>
      </w:r>
    </w:p>
    <w:p>
      <w:pPr>
        <w:spacing w:after="0" w:line="18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Recruiting and retaining qualified scientific and clinical personnel and, if we are successful in obtaining marketing approval for our product candidates,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 Furthermore, to the extent we hire personnel</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could harm our business, prospects, financial condition and results of operations.</w:t>
      </w:r>
    </w:p>
    <w:p>
      <w:pPr>
        <w:spacing w:after="0" w:line="29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As of March 31, 2018, we had 46 employees. As our clinical development progresses, we expect to experience growth in the number of our employees and the scope of our operations, particularly in the areas of clinical operations,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and vendors may engage in misconduct or other improper activities, including non-compliance with regulatory standards and requirements.</w:t>
      </w:r>
    </w:p>
    <w:p>
      <w:pPr>
        <w:spacing w:after="0" w:line="62"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principal investigators, CROs and vendors may engage in fraudulent conduct or other illegal activity. Misconduct by these parties could include intentional, reckless or negligent conduct or unauthorized activities that violates (1) the laws and regulations of the FDA, the EMA, the MHRA and other similar regulatory authorities, including those laws requiring the reporting of true, complete and accurate information to such authorities, (2) manufacturing standards, (3) federal and state data privacy, security, fraud and abuse and other healthcare laws and regulations in the United States and abroad and (4)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information obtained in the course of clinical trials, creating fraudulent data in our preclinical studies or clinical trials or illegal misappropriation of product candidates, which could result in regulatory sanctions and serious harm to our reputation.</w:t>
      </w:r>
    </w:p>
    <w:p>
      <w:pPr>
        <w:spacing w:after="0" w:line="173"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Prior to the closing of this offering, we intend to adopt a code of business conduct and ethics,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including damages, fines, disgorgement, imprisonment, exclusion from participation in government healthcare programs, such as Medicare and Medicaid, contractual damages, reputational harm and the delay, reduction, termination or restructuring of our operations.</w:t>
      </w:r>
    </w:p>
    <w:p>
      <w:pPr>
        <w:spacing w:after="0" w:line="27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2"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may hire sales representatives and conduct physician and patient association outreach activities outside of the United States. Doing business internationally involves a number of risks, including but not limited to:</w:t>
      </w:r>
    </w:p>
    <w:p>
      <w:pPr>
        <w:spacing w:after="0" w:line="94" w:lineRule="exact"/>
        <w:rPr>
          <w:sz w:val="20"/>
          <w:szCs w:val="20"/>
          <w:color w:val="auto"/>
        </w:rPr>
      </w:pPr>
    </w:p>
    <w:p>
      <w:pPr>
        <w:ind w:left="106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30"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factors could harm our future international expansion and operations and, consequently, our results of operations.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129"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third parties on which we rely, are vulnerable to damage from computer viruses and unauthorized access, malware, natural disasters, fire, terrorism, war and telecommunication,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While we have not experienced any such material system failure or security breach to our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knowledge to date, if such an event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future product candidates could be delayed.</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79"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Prior to the completion of this offering, we have been a private company with limited accounting personnel to adequately execute our accounting processes and other supervisory resources with which to address our internal control over financial reporting. In connection with the audit of our financial statements, we identified material weaknesses in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The material weaknesses related to our accounting for complex transactions and the timing of our recognition of research and development expenses. We are implementing measures designed to improve our internal control over financial reporting to remediate these material weaknesses including, the engagement of technical accounting consulting resources, plans to hire additional finance department employees and the implementation of more formal policies and procedures related to the accounting for our procurement and vendor payment process.</w:t>
      </w:r>
    </w:p>
    <w:p>
      <w:pPr>
        <w:spacing w:after="0" w:line="19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71"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If we fail to remediate our 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30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of our common stock at or above the initial offering price, if at all.</w:t>
      </w:r>
    </w:p>
    <w:p>
      <w:pPr>
        <w:spacing w:after="0" w:line="62"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Prior to this offering, there has been no public market for our common stock. We cannot predict the extent to which an active market for our common stock will develop or be sustained after this offering, or how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development of such a market might affect the market price for our common stock. The initial public offering price for our common stock will be determined through negotiations with the underwriters and may not be indicative of the price at which our common stock will trade after the closing of this offering. Although we have applied to list our common stock on The Nasdaq Global Market, an active trading market for our shares may never develop or be sustained following this offering. If an active market for our common stock does not develop or is not sustained, it may be difficult for you to sell shares you purchased in this offering at an attractive price or at all.</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trading price of the shares of our common stock may be volatile, and purchasers of our common stock could incur substantial losses.</w:t>
      </w:r>
    </w:p>
    <w:p>
      <w:pPr>
        <w:spacing w:after="0" w:line="140"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Our stock price may be volatile.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52" w:lineRule="exact"/>
        <w:rPr>
          <w:sz w:val="20"/>
          <w:szCs w:val="20"/>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86"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commencement, enrollment or results of any future clinical trials we may conduct, or changes in the development status of our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results from, delays in or termination of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than expected market acceptance of our product candidates following approval for commercialization;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stock market price and volume fluctuations of comparable companies and, in particular, those that operate in the pharmaceutical industry;</w:t>
      </w:r>
    </w:p>
    <w:p>
      <w:pPr>
        <w:spacing w:after="0" w:line="153"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proposed changes to healthcare laws in the United States or foreign jurisdictions, or speculation regarding such changes;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8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equity research analysts publish about us and our business. We do not currently have and may never obtain research coverage by equity research analysts. Equity research analysts may elect not to provide research coverage of our common stock after this offering,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suffer immediate dilution of your investment.</w:t>
      </w:r>
    </w:p>
    <w:p>
      <w:pPr>
        <w:spacing w:after="0" w:line="11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The assumed initial public offering price of our common stock is substantially higher than the pro forma as adjusted net tangible book value per share of our common stock. Therefore, if you purchase shares of our common stock in this offering, you will pay a price per share that substantially exceeds our pro forma as adjusted net tangible book value per share after this offering. Based on an assumed initial public offering price of $15.00 per share, the midpoint of the price range set forth on the cover page of this prospectus, you will experience immediate dilution of $9.63 per share, representing the difference between our pro forma as adjusted net tangible book value per share after this offering and the assumed initial public offering price. In addition, to the extent outstanding stock options are exercised, there will be further dilution to investors in this offering. In addition, if the underwriters exercise their over-allotment option or if we issued additional equity securities, you will experience additional dilution. See “Dilution” for a more detailed description of the dilution to investors in the offering.</w:t>
      </w:r>
    </w:p>
    <w:p>
      <w:pPr>
        <w:spacing w:after="0" w:line="28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subject to the restrictions and limitations described below. If our stockholders sell, or the market perceives that our stockholders intend to sell, substantial amounts of our common stock in the public market following this offering, the market price of our common stock could decline significantly.</w:t>
      </w:r>
    </w:p>
    <w:p>
      <w:pPr>
        <w:spacing w:after="0" w:line="18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Upon the closing of this offering, we will have 29,625,103 outstanding shares of common stock, after giving effect to the conversion of our preferred stock outstanding as of March 31, 2018 into 16,215,896 shares of our common stock, assuming no exercise of the underwriters’ over-allotment option and no exercise of outstanding options. Of these shares, the shares sold in this offering will be freely tradable and the remaining shares of common stock will be available for sale in the public market beginning after the end of the 180th day after the date of this prospectus following the expiration of lock-up agreements between our stockholders and certain of the underwriters for this offering, subject, in the case of our affiliates, to the conditions of Rule 144 under the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Securities Act of 1933, as amended, or the Securities Act. Morgan Stanley &amp; Co. LLC and Credit Suisse Securities (USA) LLC on behalf of the underwriters may release these stockholders from their lock-up agreements at any time and without notice, which would allow for earlier sales of shares in the public market subject to the conditions of Rule 144 under the Securities Act.</w:t>
      </w:r>
    </w:p>
    <w:p>
      <w:pPr>
        <w:spacing w:after="0" w:line="181"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In addition, promptly following the closing of this offering, we intend to file one or more registration statements on Form S-8 registering the issuance of approximately 6.8 million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in the case of our affiliates, the restrictions of Rule 144.</w:t>
      </w:r>
    </w:p>
    <w:p>
      <w:pPr>
        <w:spacing w:after="0" w:line="154"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Additionally, after this offering, the holders of an aggregate of 16,215,896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without limitation. If these additional shares are sold, or if it is perceived that they will be sold, in the public market, the trading price of our common stock could decline.</w:t>
      </w:r>
    </w:p>
    <w:p>
      <w:pPr>
        <w:spacing w:after="0" w:line="296"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There are provisions in our certificate of incorporation and bylaws, as they will be in effect following this offering, that may make it difficult for a third-party to acquire, or attempt to acquire, control of our company, even if a change in control was considered favorable by our stockholders.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such as:</w:t>
      </w:r>
    </w:p>
    <w:p>
      <w:pPr>
        <w:spacing w:after="0" w:line="131" w:lineRule="exact"/>
        <w:rPr>
          <w:sz w:val="20"/>
          <w:szCs w:val="20"/>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 and by a two-thirds majority vote of the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that our board of directors could use to implement a stockholder rights plan;</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which requires all stockholder actions to be taken at a meeting of our stockholders.</w:t>
      </w:r>
    </w:p>
    <w:p>
      <w:pPr>
        <w:spacing w:after="0" w:line="23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Based upon our common stock outstanding as of May 31, 2018 and including the 6,700,000 shares to be sold in this offering, upon the closing of this offering, our executive officers, directors and current beneficial owners of 5% or more of our common stock will, in the aggregate, beneficially own approximately 65.2% of our outstanding common stock (assuming no exercise of the underwriters’ over-allotment option).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However, certain entities affiliated with Lightspeed Venture Partners, Sutter Hill Ventures or Clarus, each a beneficial owner of more than 5% of our capital stock and an affiliate of one of our directors, and certain other persons have indicated an interest in purchasing up to an aggregate of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entities, or any or all of these entities may determine to purchase more, fewer or no shares in this offering.</w:t>
      </w:r>
    </w:p>
    <w:p>
      <w:pPr>
        <w:spacing w:after="0" w:line="17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Some of these persons or entities may have interests different than yours.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29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will incur costs and demands upon our management as a result of complying with the laws and regulations affecting public companies in the United States, which may harm our business.</w:t>
      </w:r>
    </w:p>
    <w:p>
      <w:pPr>
        <w:spacing w:after="0" w:line="62"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Securities and Exchange Commission, or SEC, and The Nasdaq Global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regular business activities to compliance activities. If, notwithstanding our efforts, we fail to comply with new laws, regulations and standards, regulatory authorities may initiate legal proceedings against us and our business may be harmed.</w:t>
      </w:r>
    </w:p>
    <w:p>
      <w:pPr>
        <w:spacing w:after="0" w:line="166"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29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reporting requirements applicable to “emerging growth companies” our common stock may be less attractive to investors.</w:t>
      </w:r>
    </w:p>
    <w:p>
      <w:pPr>
        <w:spacing w:after="0" w:line="62"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exemptions from the requirements of holding a nonbinding advisory vote on executive compensation and stockholder approval of any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golden parachute payments not previously approved. As an “emerging growth company,” we are required to report only two years of financial results and selected financial data compared to three and five years, respectively, for comparable data reported by other public companies. We may take advantage of these exemptions until we are no longer an “emerging growth company.” We could be an “emerging growth company” for up to five years, although circumstances could cause us to lose that status earlier, including if the aggregate market value of our common stock held by non-affiliates exceeds $700 million as of any June 30 (the end of our second quarter) before that time, in which case we would no longer be an “emerging growth company” as of the following December 31 (our year-end). We cannot predict if investors will find our common stock less attractive because we may rely on these exemptions. If some investors find our common stock less attractive as a result, there may be a less active trading market for our common stock and the price of our common stock may be more volatile.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If we fail to maintain proper and effective internal controls, our ability to produce accurate financial statements on a timely basis could be impaired.</w:t>
      </w:r>
    </w:p>
    <w:p>
      <w:pPr>
        <w:spacing w:after="0" w:line="152"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After the closing of this offering, we will be subject to the reporting requirements of the Securities Exchange Act of 1934, as amended, or the Exchange Act, the Sarbanes-Oxley Act and the rules and regulations of The Nasdaq Global Market. Section 302 of the Sarbanes-Oxley Act requires, among other things, that we report on the effectiveness of our disclosure controls and procedures in our quarterly and annual reports and, beginning with our annual report for the year ending 2019, Section 404 of the Sarbanes-Oxley Act requires that we perform system and process evaluation and testing of our internal control over financial reporting to allow management to report on the effectiveness of our internal control over financial reporting in our Form 10-K filing for that year. This will require that we incur substantial additional professional fees and internal costs to expand our accounting and finance functions and that we expend significant management efforts. Prior to this offering, we have never been required to test our internal control within a specified period, and, as a result, we may experience difficulty in meeting these reporting requirements in a timely manner.</w:t>
      </w:r>
    </w:p>
    <w:p>
      <w:pPr>
        <w:spacing w:after="0" w:line="166"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As a public company, we will be required to maintain internal control over financial reporting and to report any material weaknesses in those internal controls. We and our independent registered public accounting firm identified material weaknesses in our internal control over financial reporting, for the year ended December 31, 2016, related to the accounting for complex transactions and the timing of expense recognition for research and development expenses. During 2017 and 2018, management has hired key accounting personnel, created a formal month-end close process, and established more robust processes supporting internal controls over financial reporting, including accounting policies and procedures. Our remediation efforts are ongoing.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66"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Global Market, the SEC or other regulatory authorities. In addition, our common stock may not be able to remain listed on The Nasdaq Global Market or any other securities exchange.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common stock. We intend to use the net proceeds from this offering to conduct our clinical trials, to fund continued research and development of 5F9 in several applications, to fund other research and development activities, and for working capital and other general corporate purposes. We may also use a portion of the net proceeds to license intellectual property or make acquisitions or investments, although we have no commitments or agreements to enter into such licenses, acquisitions or investments. See “Use of Proceeds.”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27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2"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existing or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262"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 for certain litigation that may be initiated by our stockholders, which could limit our stockholders’ ability to obtain a favorable judicial forum for disputes with us or our directors, officers or employees.</w:t>
      </w:r>
    </w:p>
    <w:p>
      <w:pPr>
        <w:spacing w:after="0" w:line="39"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Some companies that adopted a similar federal district court forum selection provision are currently subject to a suit in the Chancery Court of Delaware by stockholders who assert that the provision is not enforceable. If a court were to find either choice of forum provisions contained in our amended and restated certificate of incorporation to be inapplicable or unenforceable in an action, we may incur additional costs associated with resolving such action in other jurisdictions, which could harm our business.</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15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prospectus, regarding, among other things:</w:t>
      </w:r>
    </w:p>
    <w:p>
      <w:pPr>
        <w:spacing w:after="0" w:line="92" w:lineRule="exact"/>
        <w:rPr>
          <w:sz w:val="20"/>
          <w:szCs w:val="20"/>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about the timing of achieving regulatory approval and the cost of our development programs;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expand, protect and enforce our intellectual property portfolio;</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ability to operate our business without infringing, misappropriating or otherwise violating the intellectual property rights of third parties;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collaborators with development, regulatory and commercialization expertise;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use of the proceeds from this offering; and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maintain proper and effective internal controls.</w:t>
      </w:r>
    </w:p>
    <w:p>
      <w:pPr>
        <w:spacing w:after="0" w:line="22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These risks are not exhaustive. Other sections of this prospectus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8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This prospectus contains estimates, projections and other information concerning our industry and our business, including estimated market size, projected growth rates and the incidence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65"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This industry, business, market, medical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medical information included in this prospectus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estimate that the net proceeds to us from the sale of 6,700,000 shares of common stock in this offering will be approximately $90.0 million at an assumed initial public offering price of $15.00 per share, the midpoint of the price range set forth on the cover page of this prospectus, after deducting underwriting discounts and commissions and estimated offering expenses payable by us. If the underwriters exercise their over-allotment option in full, we estimate that the net proceeds to us will be approximately $104.0 million, after deducting underwriting discounts and commissions and estimated offering expenses payable by us.</w:t>
      </w:r>
    </w:p>
    <w:p>
      <w:pPr>
        <w:spacing w:after="0" w:line="188"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Each $1.00 increase or decrease in the assumed initial public offering price of $15.00 per share would increase or decrease, respectively, our net proceeds by $6.2 million, assuming the number of shares offered by us, as set forth on the cover page of this prospectus, remains the same and after deducting underwriting discounts and commissions and estimated offering expenses payable by us. We may also increase or decrease the number of shares we are offering. An increase or decrease of 1,000,000 in the number of shares we are offering would increase or decrease, respectively, the net proceeds from this offering, after deducting underwriting discounts and commissions by $14.0 million, assuming the assumed initial public offering price stays the same.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currently expect to use our net proceeds from this offering as follows:</w:t>
      </w:r>
    </w:p>
    <w:p>
      <w:pPr>
        <w:spacing w:after="0" w:line="131" w:lineRule="exact"/>
        <w:rPr>
          <w:sz w:val="20"/>
          <w:szCs w:val="20"/>
          <w:color w:val="auto"/>
        </w:rPr>
      </w:pPr>
    </w:p>
    <w:p>
      <w:pPr>
        <w:ind w:left="106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approximately $23.0 to $25.0 million to further the clinical development of 5F9 through completion of our existing Phase 1 monotherapy and planned PD-L1 combination clinical trials;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approximately $37.0 to $40.0 million to further the clinical development of 5F9 through completion of Phase 2 combination clinical trials in NHL and CRC or alternative Phase 2 indications if there are compelling clinical data;</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approximately $4.0 to $5.0 million to further the development of our anti-SIRPa antibody product candidate, FSI-189, through IND enabling studies;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 to $6.0 million in upfront fees to license intellectual property, although we have no present commitments or agreements to license intellectual property; and</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remaining proceeds for research and drug discovery activities related to additional product candidates, working capital and general corporate purposes.</w:t>
      </w:r>
    </w:p>
    <w:p>
      <w:pPr>
        <w:spacing w:after="0" w:line="170"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Our management will have broad discretion over the use of the net proceeds from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and the amount of cash obtained through future collaborations, if any. Following this offering, we will require additional funding in order to complete clinical development and commercialize our lead product candidate, 5F9, and complete the clinical development of any additional product candidates.</w:t>
      </w:r>
    </w:p>
    <w:p>
      <w:pPr>
        <w:spacing w:after="0" w:line="18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believe opportunities may exist from time to time to expand our current business through acquisitions or in-licenses of complementary companies, medicines or technologies. While we have no current agreements, commitments or understandings for any specific acquisitions or in-licenses at this time, we may use a portion of the net proceeds for these purposes.</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Pending the use of the proceeds from this offering as described above, we intend to invest the net proceeds in interest-bearing investment-grade securities or government securities.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if any, to support operations and to finance the growth and development of our business. We do not intend to declare or pay cash dividends on common stock in the foreseeable future.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cash equivalents and short-term investments and our capitalization as of March 31, 2018, on:</w:t>
      </w:r>
    </w:p>
    <w:p>
      <w:pPr>
        <w:spacing w:after="0" w:line="131" w:lineRule="exact"/>
        <w:rPr>
          <w:sz w:val="20"/>
          <w:szCs w:val="20"/>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jc w:val="both"/>
        <w:ind w:left="1060" w:right="20" w:hanging="424"/>
        <w:spacing w:after="0" w:line="26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 forma basis to reflect (i) the conversion of all the outstanding shares of preferred stock into 16,215,896 shares of common stock immediately upon the closing of this offering; and (ii) the filing and effectiveness of our amended and restated certificate of incorporation; and</w:t>
      </w:r>
    </w:p>
    <w:p>
      <w:pPr>
        <w:spacing w:after="0" w:line="86" w:lineRule="exact"/>
        <w:rPr>
          <w:rFonts w:ascii="Arial" w:cs="Arial" w:eastAsia="Arial" w:hAnsi="Arial"/>
          <w:sz w:val="18"/>
          <w:szCs w:val="18"/>
          <w:color w:val="auto"/>
        </w:rPr>
      </w:pPr>
    </w:p>
    <w:p>
      <w:pPr>
        <w:jc w:val="both"/>
        <w:ind w:left="1060" w:right="20" w:hanging="424"/>
        <w:spacing w:after="0" w:line="26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 forma as adjusted basis to further reflect the sale of 6,700,000 shares of common stock in this offering at an assumed initial public offering price of $15.00 per share, the midpoint of the price range set forth on the cover page of this prospectus, after deducting underwriting discounts and commissions and estimated offering expenses payable by us.</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You should read this information together with the sections of this prospectus titled “Summary Financial Data,” “Selected Financial Data,” “Description of Capital Stock” and “Management’s Discussion and Analysis of Financial Condition and Results of Operations” and our financial statements and related notes included elsewhere in this prospectus.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March 31, 2018</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2"/>
                <w:szCs w:val="12"/>
                <w:color w:val="auto"/>
              </w:rPr>
            </w:pPr>
          </w:p>
        </w:tc>
        <w:tc>
          <w:tcPr>
            <w:tcW w:w="12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60" w:type="dxa"/>
            <w:vAlign w:val="bottom"/>
            <w:tcBorders>
              <w:top w:val="single" w:sz="8" w:color="auto"/>
            </w:tcBorders>
            <w:gridSpan w:val="9"/>
          </w:tcPr>
          <w:p>
            <w:pPr>
              <w:jc w:val="right"/>
              <w:ind w:right="375"/>
              <w:spacing w:after="0" w:line="142" w:lineRule="exact"/>
              <w:rPr>
                <w:sz w:val="20"/>
                <w:szCs w:val="20"/>
                <w:color w:val="auto"/>
              </w:rPr>
            </w:pPr>
            <w:r>
              <w:rPr>
                <w:rFonts w:ascii="Arial" w:cs="Arial" w:eastAsia="Arial" w:hAnsi="Arial"/>
                <w:sz w:val="14"/>
                <w:szCs w:val="14"/>
                <w:b w:val="1"/>
                <w:bCs w:val="1"/>
                <w:color w:val="auto"/>
                <w:w w:val="99"/>
              </w:rPr>
              <w:t>(In thousands, except share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78,432</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78,432</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Convertible preferred stock, $0.0001 par value per share. 16,215,944 shares authorized,</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16,215,896 shares issued and outstanding, actual; no shares authorized, issued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outstanding, pro forma and pro forma as adjusted</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149,397</w:t>
            </w:r>
          </w:p>
        </w:tc>
        <w:tc>
          <w:tcPr>
            <w:tcW w:w="240" w:type="dxa"/>
            <w:vAlign w:val="bottom"/>
          </w:tcPr>
          <w:p>
            <w:pPr>
              <w:spacing w:after="0"/>
              <w:rPr>
                <w:sz w:val="20"/>
                <w:szCs w:val="20"/>
                <w:color w:val="auto"/>
              </w:rPr>
            </w:pP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340"/>
              <w:spacing w:after="0" w:line="201" w:lineRule="exact"/>
              <w:rPr>
                <w:sz w:val="20"/>
                <w:szCs w:val="20"/>
                <w:color w:val="auto"/>
              </w:rPr>
            </w:pPr>
            <w:r>
              <w:rPr>
                <w:rFonts w:ascii="Arial" w:cs="Arial" w:eastAsia="Arial" w:hAnsi="Arial"/>
                <w:sz w:val="18"/>
                <w:szCs w:val="18"/>
                <w:color w:val="auto"/>
              </w:rPr>
              <w:t>Preferred stock, $0.0001 par value per share. No shares authorized, issued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520"/>
              <w:spacing w:after="0"/>
              <w:rPr>
                <w:sz w:val="20"/>
                <w:szCs w:val="20"/>
                <w:color w:val="auto"/>
              </w:rPr>
            </w:pPr>
            <w:r>
              <w:rPr>
                <w:rFonts w:ascii="Arial" w:cs="Arial" w:eastAsia="Arial" w:hAnsi="Arial"/>
                <w:sz w:val="18"/>
                <w:szCs w:val="18"/>
                <w:color w:val="auto"/>
              </w:rPr>
              <w:t>outstanding, actual; 10,000,000 shares authorized, and no shares issued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520"/>
              <w:spacing w:after="0"/>
              <w:rPr>
                <w:sz w:val="20"/>
                <w:szCs w:val="20"/>
                <w:color w:val="auto"/>
              </w:rPr>
            </w:pPr>
            <w:r>
              <w:rPr>
                <w:rFonts w:ascii="Arial" w:cs="Arial" w:eastAsia="Arial" w:hAnsi="Arial"/>
                <w:sz w:val="18"/>
                <w:szCs w:val="18"/>
                <w:color w:val="auto"/>
              </w:rPr>
              <w:t>outstanding, pro forma and pro forma as adjusted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Common stock, $0.0001 par value: 200,000,000 shares authorized, 6,709,207 shares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issued and outstanding, actual; 200,000,000 shares authorized, 22,925,103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and outstanding, pro forma; 200,000,000 shares authorized, 29,625,103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issued and outstanding pro forma as adjusted</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3,951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153,347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(84,174)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(84,174)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(80,293)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106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69,104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69,104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jc w:val="both"/>
        <w:ind w:left="640" w:right="20" w:hanging="436"/>
        <w:spacing w:after="0" w:line="279"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$1.00 increase or decrease in the assumed initial public offering price of $15.00 per share, the midpoint of the price range set forth on the cover page of this prospectus, would increase or decrease, respectively, the amount of cash, cash equivalents and short-term investments, additional paid-in-capital, total stockholders’ equity and total capitalization by approximately $6.2 million, assuming that the number of shares offered by us, as set forth on the cover page of this prospectus, remains the same after deducting</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640"/>
        <w:spacing w:after="0" w:line="273" w:lineRule="auto"/>
        <w:rPr>
          <w:sz w:val="20"/>
          <w:szCs w:val="20"/>
          <w:color w:val="auto"/>
        </w:rPr>
      </w:pPr>
      <w:r>
        <w:rPr>
          <w:rFonts w:ascii="Arial" w:cs="Arial" w:eastAsia="Arial" w:hAnsi="Arial"/>
          <w:sz w:val="17"/>
          <w:szCs w:val="17"/>
          <w:color w:val="auto"/>
        </w:rPr>
        <w:t>underwriting discounts and commissions and estimated offering expenses payable by us. We may also increase or decrease the number of shares we are offering. An increase or decrease of 1,000,000 in the number of shares we are offering would increase or decrease, respectively, the amount of cash, cash equivalents and short-term investments, additional paid-in-capital, total stockholders’ equity and total capitalization by approximately $14.0 million, assuming the assumed initial public offering price per share, as set forth on the cover page of this prospectus, remains the same and after deducting underwriting discounts and commissions. The pro forma as adjusted information is illustrative only, and will be adjusted based on the actual initial public offering price and other terms of this offering determined at pricing.</w:t>
      </w:r>
    </w:p>
    <w:p>
      <w:pPr>
        <w:spacing w:after="0" w:line="17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outstanding share information in the table above excludes, as of March 31, 2018, the following shares:</w:t>
      </w:r>
    </w:p>
    <w:p>
      <w:pPr>
        <w:spacing w:after="0" w:line="131" w:lineRule="exact"/>
        <w:rPr>
          <w:sz w:val="20"/>
          <w:szCs w:val="20"/>
          <w:color w:val="auto"/>
        </w:rPr>
      </w:pPr>
    </w:p>
    <w:p>
      <w:pPr>
        <w:jc w:val="both"/>
        <w:ind w:left="1620" w:hanging="538"/>
        <w:spacing w:after="0" w:line="264"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2,206,642 shares of common stock issuable upon the exercise of stock options outstanding as of March 31, 2018, with a weighted-average exercise price of $4.67 per share, plus 1,199,143 shares of common stock issuable upon the exercise of stock options granted subsequent to March 31, 2018, with a weighted-average exercise price of $8.91 per share;</w:t>
      </w:r>
    </w:p>
    <w:p>
      <w:pPr>
        <w:spacing w:after="0" w:line="86" w:lineRule="exact"/>
        <w:rPr>
          <w:rFonts w:ascii="Arial" w:cs="Arial" w:eastAsia="Arial" w:hAnsi="Arial"/>
          <w:sz w:val="18"/>
          <w:szCs w:val="18"/>
          <w:color w:val="auto"/>
        </w:rPr>
      </w:pPr>
    </w:p>
    <w:p>
      <w:pPr>
        <w:jc w:val="both"/>
        <w:ind w:left="1620" w:hanging="538"/>
        <w:spacing w:after="0" w:line="259"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166,856 additional shares of common stock reserved for future issuance under our 2015 Equity Incentive Plan as of March 31, 2018, plus an additional 1,677,419 shares of common stock reserved for future issuance under this plan subsequent to March 31, 2018, all of which will cease to be available for issuance at the time our 2018 Equity Incentive Plan becomes effective in connection with this offering;</w:t>
      </w:r>
    </w:p>
    <w:p>
      <w:pPr>
        <w:spacing w:after="0" w:line="92" w:lineRule="exact"/>
        <w:rPr>
          <w:rFonts w:ascii="Arial" w:cs="Arial" w:eastAsia="Arial" w:hAnsi="Arial"/>
          <w:sz w:val="18"/>
          <w:szCs w:val="18"/>
          <w:color w:val="auto"/>
        </w:rPr>
      </w:pPr>
    </w:p>
    <w:p>
      <w:pPr>
        <w:jc w:val="both"/>
        <w:ind w:left="1620" w:hanging="538"/>
        <w:spacing w:after="0" w:line="264"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3,000,000 shares of common stock reserved for future issuance under our 2018 Equity Incentive Plan, which will become effective upon the execution of the underwriting agreement for this offering, as well as any automatic increases in the number of shares of common stock reserved for future issuance under this plan; and</w:t>
      </w:r>
    </w:p>
    <w:p>
      <w:pPr>
        <w:spacing w:after="0" w:line="86" w:lineRule="exact"/>
        <w:rPr>
          <w:rFonts w:ascii="Arial" w:cs="Arial" w:eastAsia="Arial" w:hAnsi="Arial"/>
          <w:sz w:val="18"/>
          <w:szCs w:val="18"/>
          <w:color w:val="auto"/>
        </w:rPr>
      </w:pPr>
    </w:p>
    <w:p>
      <w:pPr>
        <w:jc w:val="both"/>
        <w:ind w:left="1620" w:hanging="538"/>
        <w:spacing w:after="0" w:line="264"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450,000 shares of common stock reserved for issuance under our 2018 Employee Stock Purchase Plan, which will become effective upon the execution of the underwriting agreement for this offering, as well as any automatic increases in the number of shares of common stock reserved for future issuance under this plan.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the closing of this offering.</w:t>
      </w:r>
    </w:p>
    <w:p>
      <w:pPr>
        <w:spacing w:after="0" w:line="181"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Our pro forma net tangible book value of our common stock as of March 31, 2018 was $69.1 million, or $3.01 per share, based on the total number of shares of our common stock outstanding as of March 31, 2018. Pro forma net tangible book value per share represents our total tangible assets less our total liabilities, divided by the number of outstanding shares of common stock, after giving effect to the conversion of all outstanding shares of preferred stock into 16,215,896 shares of common stock immediately upon the closing of this offering.</w:t>
      </w:r>
    </w:p>
    <w:p>
      <w:pPr>
        <w:spacing w:after="0" w:line="171"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After giving effect to the conversion of our outstanding preferred stock into common stock immediately upon the closing of this offering and the receipt of the net proceeds from our sale of 6,700,000 shares of common stock in this offering at an assumed initial public offering price of $15.00 per share, the midpoint of the price range set forth on the cover page of this prospectus, after deducting underwriting discounts and commissions and estimated offering expenses payable by us, our pro forma as adjusted net tangible book value as of March 31, 2018, would have been $159.1 million, or $5.37 per share. This represents an immediate increase in pro forma as adjusted net tangible book value of $2.36 per share to our existing stockholders and immediate dilution of $9.63 per share to investors purchasing common stock in this offering.</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March 31, 2018</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Increase in pro forma net tangible book value per share attributable to new investors purchasing shares in this</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offering</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 in this offering</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Each $1.00 increase or decrease in the assumed initial public offering price of $15.00 per share would increase or decrease, respectively, our pro forma as adjusted net tangible book value per share after this offering by $0.21 per share and the dilution to new investors by $0.79 per share, assuming the number of shares offered by us, as set forth on the cover page of this prospectus, remains the same and after deducting underwriting discounts and commissions and estimated offering expenses payable by us. Each increase of 1,000,000 shares in the number of shares of common stock offered by us would increase the pro forma as adjusted net tangible book value by $0.28 per share and the dilution to new investors would decrease by $0.28 per share, assuming the assumed initial public offering price remains the same and after deducting underwriting discounts and commissions. Each decrease of 1,000,000 shares in the number of shares of common stock offered by us would decrease the pro forma as adjusted net tangible book value by $0.30 per share and the dilution to new investors would increase by $0.30 per share, assuming the assumed initial public offering price remains the same and after deducting underwriting discounts and commissions.</w:t>
      </w:r>
    </w:p>
    <w:p>
      <w:pPr>
        <w:spacing w:after="0" w:line="182"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per share after giving effect to this offering would be $5.65 per share, and the dilution in pro forma as adjusted net tangible book value per share to new investors in this offering would be $9.35 per share.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as of March 31, 2018:</w:t>
      </w:r>
    </w:p>
    <w:p>
      <w:pPr>
        <w:spacing w:after="0" w:line="131" w:lineRule="exact"/>
        <w:rPr>
          <w:sz w:val="20"/>
          <w:szCs w:val="20"/>
          <w:color w:val="auto"/>
        </w:rPr>
      </w:pPr>
    </w:p>
    <w:p>
      <w:pPr>
        <w:ind w:left="10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total number of shares of common stock purchased from us by our existing stockholders and by new investors purchasing shares in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60" w:right="20" w:hanging="424"/>
        <w:spacing w:after="0" w:line="312"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total consideration paid to us by our existing stockholders and by new investors purchasing shares in this offering, assuming an initial public offering price of $15.00 per share, the midpoint of the price range set forth on the cover page of this prospectus, before deducting the underwriting discounts and commissions and estimated offering expenses payable by us in connection with this offering; and</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average price per share paid by existing stockholders and by new investors purchasing shares in this offering.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Shares Purchased</w:t>
            </w:r>
          </w:p>
        </w:tc>
        <w:tc>
          <w:tcPr>
            <w:tcW w:w="260" w:type="dxa"/>
            <w:vAlign w:val="bottom"/>
          </w:tcPr>
          <w:p>
            <w:pPr>
              <w:spacing w:after="0"/>
              <w:rPr>
                <w:sz w:val="14"/>
                <w:szCs w:val="14"/>
                <w:color w:val="auto"/>
              </w:rPr>
            </w:pPr>
          </w:p>
        </w:tc>
        <w:tc>
          <w:tcPr>
            <w:tcW w:w="23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Total Consideration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16"/>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Number</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2"/>
                <w:szCs w:val="12"/>
                <w:color w:val="auto"/>
              </w:rPr>
            </w:pPr>
          </w:p>
        </w:tc>
        <w:tc>
          <w:tcPr>
            <w:tcW w:w="130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w w:val="96"/>
              </w:rPr>
              <w:t>Price 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22,925,103</w:t>
            </w:r>
          </w:p>
        </w:tc>
        <w:tc>
          <w:tcPr>
            <w:tcW w:w="5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26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$150,593,846</w:t>
            </w:r>
          </w:p>
        </w:tc>
        <w:tc>
          <w:tcPr>
            <w:tcW w:w="50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New investors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6,700,000</w:t>
            </w:r>
          </w:p>
        </w:tc>
        <w:tc>
          <w:tcPr>
            <w:tcW w:w="5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100,500,000</w:t>
            </w:r>
          </w:p>
        </w:tc>
        <w:tc>
          <w:tcPr>
            <w:tcW w:w="5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29,625,103</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251,093,846</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over-allotment option. If the underwriters exercise their over-allotment option in full, our existing stockholders would own 75% and our new investors would own 25% of the total number of shares of common stock outstanding upon the closing of this offering.</w:t>
      </w:r>
    </w:p>
    <w:p>
      <w:pPr>
        <w:spacing w:after="0" w:line="18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number of shares of our common stock that will be outstanding after this offering is based on 22,925,103 shares of common stock outstanding as of March 31, 2018, and excludes:</w:t>
      </w:r>
    </w:p>
    <w:p>
      <w:pPr>
        <w:spacing w:after="0" w:line="76" w:lineRule="exact"/>
        <w:rPr>
          <w:sz w:val="20"/>
          <w:szCs w:val="20"/>
          <w:color w:val="auto"/>
        </w:rPr>
      </w:pPr>
    </w:p>
    <w:p>
      <w:pPr>
        <w:jc w:val="both"/>
        <w:ind w:left="1060" w:right="20" w:hanging="424"/>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2,206,642 shares of common stock issuable upon the exercise of stock options outstanding as of March 31, 2018, with a weighted-average exercise price of $4.67 per share, plus 1,199,143 shares of common stock issuable upon the exercise of stock options granted subsequent to March 31, 2018, with a weighted-average exercise price of $8.91 per share;</w:t>
      </w:r>
    </w:p>
    <w:p>
      <w:pPr>
        <w:spacing w:after="0" w:line="86" w:lineRule="exact"/>
        <w:rPr>
          <w:rFonts w:ascii="Arial" w:cs="Arial" w:eastAsia="Arial" w:hAnsi="Arial"/>
          <w:sz w:val="18"/>
          <w:szCs w:val="18"/>
          <w:color w:val="auto"/>
        </w:rPr>
      </w:pPr>
    </w:p>
    <w:p>
      <w:pPr>
        <w:jc w:val="both"/>
        <w:ind w:left="1060" w:right="20" w:hanging="424"/>
        <w:spacing w:after="0" w:line="312"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166,856 additional shares of common stock reserved for future issuance under our 2015 Equity Incentive Plan as of March 31, 2018, plus an additional 1,677,419 shares of common stock reserved for future issuance under this plan subsequent to March 31, 2018, all of which will cease to be available for issuance at the time our 2018 Equity Incentive Plan becomes effective in connection with this offering;</w:t>
      </w:r>
    </w:p>
    <w:p>
      <w:pPr>
        <w:spacing w:after="0" w:line="52" w:lineRule="exact"/>
        <w:rPr>
          <w:rFonts w:ascii="Arial" w:cs="Arial" w:eastAsia="Arial" w:hAnsi="Arial"/>
          <w:sz w:val="16"/>
          <w:szCs w:val="16"/>
          <w:color w:val="auto"/>
        </w:rPr>
      </w:pPr>
    </w:p>
    <w:p>
      <w:pPr>
        <w:jc w:val="both"/>
        <w:ind w:left="1060" w:right="20" w:hanging="424"/>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3,000,000 shares of common stock reserved for future issuance under our 2018 Equity Incentive Plan, which will become effective upon the execution of the underwriting agreement for this offering, as well as any automatic increases in the number of shares of common stock reserved for future issuance under this plan; and</w:t>
      </w:r>
    </w:p>
    <w:p>
      <w:pPr>
        <w:spacing w:after="0" w:line="86" w:lineRule="exact"/>
        <w:rPr>
          <w:rFonts w:ascii="Arial" w:cs="Arial" w:eastAsia="Arial" w:hAnsi="Arial"/>
          <w:sz w:val="18"/>
          <w:szCs w:val="18"/>
          <w:color w:val="auto"/>
        </w:rPr>
      </w:pPr>
    </w:p>
    <w:p>
      <w:pPr>
        <w:jc w:val="both"/>
        <w:ind w:left="1060" w:right="20" w:hanging="424"/>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450,000 shares of common stock reserved for issuance under our 2018 Employee Stock Purchase Plan, which will become effective upon the execution of the underwriting agreement for this offering, as well as any automatic increases in the number of shares of common stock reserved for future issuance under this plan.</w:t>
      </w:r>
    </w:p>
    <w:p>
      <w:pPr>
        <w:spacing w:after="0" w:line="181"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Each $1.00 increase or decrease in the assumed initial public offering price of $15.00 per share, the midpoint of the estimated offering price range set forth on the cover page of this prospectus, would increase or decrease, respectively, the total consideration paid by new investors by $6.7 million and increase or decrease, respectively, the total consideration paid by new investors by 6.7%, assuming that the number of shares offered by us, as set forth on the cover page of this prospectus, remains the same and before deducting underwriting discounts and commissions.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the extent any outstanding options are exercised, new investors would experience further dilution.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You should read the selected financial data together with the section titled “Management’s Discussion and Analysis of Financial Condition and Results of Operations” and our financial statements and related notes included elsewhere in this prospectus. The selected financial data included in this section are not intended to replace the financial statements and related notes included elsewhere in this prospectus. We derived the statement of operations data for the years ended December 31, 2016 and December 31, 2017 and balance sheet data as of December 31, 2016 and December 31, 2017 from our audited financial statements included elsewhere in this prospectus. We derived the statement of operations data for the three months ended March 31, 2017 and 2018 and the balance sheet data as of March 31, 2018 from our unaudited interim condensed financial statements included elsewhere in this prospectus. Our unaudited interim condensed financial statements have been prepared on the same basis as our audited financial statements and, in our opinion, reflect all adjustments, consisting only of normal recurring adjustments, that are necessary for the fair statement of our unaudited interim condensed financial statements. Our historical results are not necessarily indicative of the results to be expected for any other period in the future, and our interim results are not necessarily indicative of the results to be expected for the full year or any other period.</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6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8"/>
          </w:tcPr>
          <w:p>
            <w:pPr>
              <w:jc w:val="right"/>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Operating expenses: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14,464</w:t>
            </w: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37,174</w:t>
            </w: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9,181</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w:t>
            </w:r>
          </w:p>
        </w:tc>
        <w:tc>
          <w:tcPr>
            <w:tcW w:w="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4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19,617</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45,304</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10,942</w:t>
            </w:r>
          </w:p>
        </w:tc>
        <w:tc>
          <w:tcPr>
            <w:tcW w:w="4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(19,617)</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(45,304)</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(10,942)</w:t>
            </w: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(14,996)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income, net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(19,539)</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(44,898)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(10,908)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(14,775)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Net loss per share, basic and diluted</w:t>
            </w:r>
            <w:r>
              <w:rPr>
                <w:rFonts w:ascii="Arial" w:cs="Arial" w:eastAsia="Arial" w:hAnsi="Arial"/>
                <w:sz w:val="23"/>
                <w:szCs w:val="23"/>
                <w:color w:val="auto"/>
                <w:vertAlign w:val="superscript"/>
              </w:rPr>
              <w:t>(1)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6"/>
                <w:szCs w:val="16"/>
                <w:color w:val="auto"/>
              </w:rPr>
              <w:t>Shares used in computing net loss per share, basic and diluted</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6,197,195</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6,468,634</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6,377,009</w:t>
            </w:r>
          </w:p>
        </w:tc>
        <w:tc>
          <w:tcPr>
            <w:tcW w:w="4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6,600,407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Pro forma net loss per share, basic and diluted (unaudited)</w:t>
            </w:r>
            <w:r>
              <w:rPr>
                <w:rFonts w:ascii="Arial" w:cs="Arial" w:eastAsia="Arial" w:hAnsi="Arial"/>
                <w:sz w:val="23"/>
                <w:szCs w:val="23"/>
                <w:color w:val="auto"/>
                <w:vertAlign w:val="superscript"/>
              </w:rPr>
              <w:t>(1)</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(2.77)</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6"/>
                <w:szCs w:val="16"/>
                <w:color w:val="auto"/>
                <w:w w:val="98"/>
              </w:rPr>
              <w:t>Shares used in computing pro forma net loss per share, basic and diluted (unaudited)</w:t>
            </w: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16,197,067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22,816,303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9" w:lineRule="exact"/>
        <w:rPr>
          <w:sz w:val="20"/>
          <w:szCs w:val="20"/>
          <w:color w:val="auto"/>
        </w:rPr>
      </w:pPr>
    </w:p>
    <w:p>
      <w:pPr>
        <w:ind w:left="520" w:right="20" w:hanging="316"/>
        <w:spacing w:after="0" w:line="293" w:lineRule="auto"/>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See Note 10 of the notes to our financial statements and Note 8 to our unaudited interim condensed financial statements included elsewhere in this prospectus for a description of how we compute basic and diluted net loss per share and unaudited pro forma net loss per share.</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2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Cash, cash equivalents and short-term investments</w:t>
            </w:r>
          </w:p>
        </w:tc>
        <w:tc>
          <w:tcPr>
            <w:tcW w:w="3060" w:type="dxa"/>
            <w:vAlign w:val="bottom"/>
            <w:gridSpan w:val="2"/>
          </w:tcPr>
          <w:p>
            <w:pPr>
              <w:jc w:val="right"/>
              <w:ind w:right="268"/>
              <w:spacing w:after="0"/>
              <w:rPr>
                <w:sz w:val="20"/>
                <w:szCs w:val="20"/>
                <w:color w:val="auto"/>
              </w:rPr>
            </w:pPr>
            <w:r>
              <w:rPr>
                <w:rFonts w:ascii="Arial" w:cs="Arial" w:eastAsia="Arial" w:hAnsi="Arial"/>
                <w:sz w:val="16"/>
                <w:szCs w:val="16"/>
                <w:color w:val="auto"/>
              </w:rPr>
              <w:t>$  9,742</w:t>
            </w:r>
          </w:p>
        </w:tc>
        <w:tc>
          <w:tcPr>
            <w:tcW w:w="880" w:type="dxa"/>
            <w:vAlign w:val="bottom"/>
          </w:tcPr>
          <w:p>
            <w:pPr>
              <w:jc w:val="right"/>
              <w:spacing w:after="0"/>
              <w:rPr>
                <w:sz w:val="20"/>
                <w:szCs w:val="20"/>
                <w:color w:val="auto"/>
              </w:rPr>
            </w:pPr>
            <w:r>
              <w:rPr>
                <w:rFonts w:ascii="Arial" w:cs="Arial" w:eastAsia="Arial" w:hAnsi="Arial"/>
                <w:sz w:val="16"/>
                <w:szCs w:val="16"/>
                <w:color w:val="auto"/>
              </w:rPr>
              <w:t>$ 88,111</w:t>
            </w:r>
          </w:p>
        </w:tc>
        <w:tc>
          <w:tcPr>
            <w:tcW w:w="4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3060" w:type="dxa"/>
            <w:vAlign w:val="bottom"/>
            <w:gridSpan w:val="2"/>
            <w:shd w:val="clear" w:color="auto" w:fill="CCEEFF"/>
          </w:tcPr>
          <w:p>
            <w:pPr>
              <w:jc w:val="right"/>
              <w:ind w:right="268"/>
              <w:spacing w:after="0"/>
              <w:rPr>
                <w:sz w:val="20"/>
                <w:szCs w:val="20"/>
                <w:color w:val="auto"/>
              </w:rPr>
            </w:pPr>
            <w:r>
              <w:rPr>
                <w:rFonts w:ascii="Arial" w:cs="Arial" w:eastAsia="Arial" w:hAnsi="Arial"/>
                <w:sz w:val="16"/>
                <w:szCs w:val="16"/>
                <w:color w:val="auto"/>
              </w:rPr>
              <w:t>16,988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95,465</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Working capital</w:t>
            </w:r>
          </w:p>
        </w:tc>
        <w:tc>
          <w:tcPr>
            <w:tcW w:w="3060" w:type="dxa"/>
            <w:vAlign w:val="bottom"/>
            <w:gridSpan w:val="2"/>
          </w:tcPr>
          <w:p>
            <w:pPr>
              <w:jc w:val="right"/>
              <w:ind w:right="268"/>
              <w:spacing w:after="0"/>
              <w:rPr>
                <w:sz w:val="20"/>
                <w:szCs w:val="20"/>
                <w:color w:val="auto"/>
              </w:rPr>
            </w:pPr>
            <w:r>
              <w:rPr>
                <w:rFonts w:ascii="Arial" w:cs="Arial" w:eastAsia="Arial" w:hAnsi="Arial"/>
                <w:sz w:val="16"/>
                <w:szCs w:val="16"/>
                <w:color w:val="auto"/>
              </w:rPr>
              <w:t>9,692</w:t>
            </w:r>
          </w:p>
        </w:tc>
        <w:tc>
          <w:tcPr>
            <w:tcW w:w="880" w:type="dxa"/>
            <w:vAlign w:val="bottom"/>
          </w:tcPr>
          <w:p>
            <w:pPr>
              <w:jc w:val="right"/>
              <w:spacing w:after="0"/>
              <w:rPr>
                <w:sz w:val="20"/>
                <w:szCs w:val="20"/>
                <w:color w:val="auto"/>
              </w:rPr>
            </w:pPr>
            <w:r>
              <w:rPr>
                <w:rFonts w:ascii="Arial" w:cs="Arial" w:eastAsia="Arial" w:hAnsi="Arial"/>
                <w:sz w:val="16"/>
                <w:szCs w:val="16"/>
                <w:color w:val="auto"/>
              </w:rPr>
              <w:t>81,289</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65,835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3060" w:type="dxa"/>
            <w:vAlign w:val="bottom"/>
            <w:gridSpan w:val="2"/>
            <w:shd w:val="clear" w:color="auto" w:fill="CCEEFF"/>
          </w:tcPr>
          <w:p>
            <w:pPr>
              <w:jc w:val="right"/>
              <w:ind w:right="268"/>
              <w:spacing w:after="0"/>
              <w:rPr>
                <w:sz w:val="20"/>
                <w:szCs w:val="20"/>
                <w:color w:val="auto"/>
              </w:rPr>
            </w:pPr>
            <w:r>
              <w:rPr>
                <w:rFonts w:ascii="Arial" w:cs="Arial" w:eastAsia="Arial" w:hAnsi="Arial"/>
                <w:sz w:val="16"/>
                <w:szCs w:val="16"/>
                <w:color w:val="auto"/>
              </w:rPr>
              <w:t>4,754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12,003</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Convertible preferred stock</w:t>
            </w:r>
          </w:p>
        </w:tc>
        <w:tc>
          <w:tcPr>
            <w:tcW w:w="3060" w:type="dxa"/>
            <w:vAlign w:val="bottom"/>
            <w:gridSpan w:val="2"/>
          </w:tcPr>
          <w:p>
            <w:pPr>
              <w:jc w:val="right"/>
              <w:ind w:right="268"/>
              <w:spacing w:after="0"/>
              <w:rPr>
                <w:sz w:val="20"/>
                <w:szCs w:val="20"/>
                <w:color w:val="auto"/>
              </w:rPr>
            </w:pPr>
            <w:r>
              <w:rPr>
                <w:rFonts w:ascii="Arial" w:cs="Arial" w:eastAsia="Arial" w:hAnsi="Arial"/>
                <w:sz w:val="16"/>
                <w:szCs w:val="16"/>
                <w:color w:val="auto"/>
              </w:rPr>
              <w:t>34,245</w:t>
            </w:r>
          </w:p>
        </w:tc>
        <w:tc>
          <w:tcPr>
            <w:tcW w:w="880" w:type="dxa"/>
            <w:vAlign w:val="bottom"/>
          </w:tcPr>
          <w:p>
            <w:pPr>
              <w:jc w:val="right"/>
              <w:spacing w:after="0"/>
              <w:rPr>
                <w:sz w:val="20"/>
                <w:szCs w:val="20"/>
                <w:color w:val="auto"/>
              </w:rPr>
            </w:pPr>
            <w:r>
              <w:rPr>
                <w:rFonts w:ascii="Arial" w:cs="Arial" w:eastAsia="Arial" w:hAnsi="Arial"/>
                <w:sz w:val="16"/>
                <w:szCs w:val="16"/>
                <w:color w:val="auto"/>
              </w:rPr>
              <w:t>149,397</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149,397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3060" w:type="dxa"/>
            <w:vAlign w:val="bottom"/>
            <w:gridSpan w:val="2"/>
            <w:shd w:val="clear" w:color="auto" w:fill="CCEEFF"/>
          </w:tcPr>
          <w:p>
            <w:pPr>
              <w:jc w:val="right"/>
              <w:ind w:right="208"/>
              <w:spacing w:after="0"/>
              <w:rPr>
                <w:sz w:val="20"/>
                <w:szCs w:val="20"/>
                <w:color w:val="auto"/>
              </w:rPr>
            </w:pPr>
            <w:r>
              <w:rPr>
                <w:rFonts w:ascii="Arial" w:cs="Arial" w:eastAsia="Arial" w:hAnsi="Arial"/>
                <w:sz w:val="16"/>
                <w:szCs w:val="16"/>
                <w:color w:val="auto"/>
              </w:rPr>
              <w:t>(24,501)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(69,399)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Total stockholders’ equity (deficit)</w:t>
            </w:r>
          </w:p>
        </w:tc>
        <w:tc>
          <w:tcPr>
            <w:tcW w:w="3060" w:type="dxa"/>
            <w:vAlign w:val="bottom"/>
            <w:gridSpan w:val="2"/>
          </w:tcPr>
          <w:p>
            <w:pPr>
              <w:jc w:val="right"/>
              <w:ind w:right="268"/>
              <w:spacing w:after="0"/>
              <w:rPr>
                <w:sz w:val="20"/>
                <w:szCs w:val="20"/>
                <w:color w:val="auto"/>
              </w:rPr>
            </w:pPr>
            <w:r>
              <w:rPr>
                <w:rFonts w:ascii="Arial" w:cs="Arial" w:eastAsia="Arial" w:hAnsi="Arial"/>
                <w:sz w:val="16"/>
                <w:szCs w:val="16"/>
                <w:color w:val="auto"/>
              </w:rPr>
              <w:t>12,234</w:t>
            </w:r>
          </w:p>
        </w:tc>
        <w:tc>
          <w:tcPr>
            <w:tcW w:w="880" w:type="dxa"/>
            <w:vAlign w:val="bottom"/>
          </w:tcPr>
          <w:p>
            <w:pPr>
              <w:jc w:val="right"/>
              <w:spacing w:after="0"/>
              <w:rPr>
                <w:sz w:val="20"/>
                <w:szCs w:val="20"/>
                <w:color w:val="auto"/>
              </w:rPr>
            </w:pPr>
            <w:r>
              <w:rPr>
                <w:rFonts w:ascii="Arial" w:cs="Arial" w:eastAsia="Arial" w:hAnsi="Arial"/>
                <w:sz w:val="16"/>
                <w:szCs w:val="16"/>
                <w:color w:val="auto"/>
              </w:rPr>
              <w:t>83,462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(80,293)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the financial statements and the related notes included elsewhere in this prospectus. 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are a clinical-stage immuno-oncology company focused on developing novel checkpoint therapies to activate macrophages in the fight against cancer. We founded Forty Seven based on the insight that blocking CD47, a key signaling molecule that is overexpressed on cancer cells, renders tumors susceptible to macrophages. By harnessing macrophages, we believe that our lead product candidate, 5F9, dosed as a monotherapy or in combination with marketed cancer therapies, can transform the treatment of cancer. 5F9 has demonstrated promising activity in six Phase 1b/2 clinical trials in which we have treated over 190 relapsed or refractory cancer patients with solid or hematologic tumors. We hold worldwide rights to all of our product candidates.</w:t>
      </w:r>
    </w:p>
    <w:p>
      <w:pPr>
        <w:spacing w:after="0" w:line="193"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We focus our efforts on targeting the CD47 pathway as a way to engage macrophages in fighting tumors. Macrophages function as first responders, swallowing foreign and abnormal cells, including cancer cells, and mobilizing other components of the immune system including T cells and antibodies. Cancer cells use CD47, a “don’t eat me” signal, in order to evade detection by the immune system and subsequent destruction by macrophages. Overexpression of CD47 is common to nearly all types of tumors and is also correlated with poor prognosis in multiple cancers including AML, CRC, gastric cancer, lung cancer, NHL and ovarian cancer. Despite the central role of macrophages as cell-eating scavengers and first responders, the pharmaceutical industry is only beginning to bring this key group of cells into the fight against cancer.</w:t>
      </w:r>
    </w:p>
    <w:p>
      <w:pPr>
        <w:spacing w:after="0" w:line="178"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Since our inception in 2014, we have devoted substantially all of our resources to identifying and developing 5F9, advancing our preclinical programs, conducting clinical trials and providing general and administrative support for these operations. We have not recorded revenue from product sales or collaboration activities, or any other source. We have funded our operations to date primarily from the issuance and sale of our preferred stock and the receipt of government and private grants. We are eligible to receive up to $19.2 million in grants from CIRM and the Leukemia and Lymphoma Society, or LLS, of which $11.6 million has been received through March 31, 2018.</w:t>
      </w:r>
    </w:p>
    <w:p>
      <w:pPr>
        <w:spacing w:after="0" w:line="173"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have incurred net losses in each year since inception. Our net losses were $19.5 million and $44.9 million for 2016 and 2017, respectively. Our net loss was $10.9 million and $14.8 million for the three months ended March 31, 2017 and 2018, respectively. As of March 31, 2018, we had an accumulated deficit of $84.2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We expect our expenses will increase substantially in connection with our ongoing activities, as we:</w:t>
      </w:r>
    </w:p>
    <w:p>
      <w:pPr>
        <w:spacing w:after="0" w:line="99" w:lineRule="exact"/>
        <w:rPr>
          <w:sz w:val="20"/>
          <w:szCs w:val="20"/>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product candidates through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pursue regulatory approval of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30" w:lineRule="exact"/>
        <w:rPr>
          <w:rFonts w:ascii="Arial" w:cs="Arial" w:eastAsia="Arial" w:hAnsi="Arial"/>
          <w:sz w:val="18"/>
          <w:szCs w:val="18"/>
          <w:color w:val="auto"/>
        </w:rPr>
      </w:pPr>
    </w:p>
    <w:p>
      <w:pPr>
        <w:ind w:left="5620" w:right="5300" w:hanging="4984"/>
        <w:spacing w:after="0" w:line="536" w:lineRule="auto"/>
        <w:tabs>
          <w:tab w:leader="none" w:pos="1064"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continue our preclinical programs and clinical development efforts; 63</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 research activities for the discovery of new product candidates;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Research and development expenses consist primarily of costs incurred for the development of our lead product candidate, 5F9, which include:</w:t>
      </w:r>
    </w:p>
    <w:p>
      <w:pPr>
        <w:spacing w:after="0" w:line="154" w:lineRule="exact"/>
        <w:rPr>
          <w:sz w:val="20"/>
          <w:szCs w:val="20"/>
          <w:color w:val="auto"/>
        </w:rPr>
      </w:pPr>
    </w:p>
    <w:p>
      <w:pPr>
        <w:ind w:left="1060" w:hanging="424"/>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contract organizations, investigative clinical trial sites that conduct research and development activities on our behalf, and consultants;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preclinical and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facilities and other expenses, which include expenses for rent and maintenance of facilities, depreciation and amortization expense and other supplies.</w:t>
      </w:r>
    </w:p>
    <w:p>
      <w:pPr>
        <w:spacing w:after="0" w:line="170"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capitalized. The capitalized amounts are then expensed as the related goods are delivered and as services are performed.</w:t>
      </w:r>
    </w:p>
    <w:p>
      <w:pPr>
        <w:spacing w:after="0" w:line="154"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The largest component of our operating expenses has historically been our investment in research and development activities related to the clinical development of our lead product candidate, 5F9. We recognize the funds from research and development grants and collaboration funding as a reduction of research and development expense when the related eligible research costs are incurred. Research and development grants and collaboration funding received during 2017 and as of March 31, 2018 totaled $5.9 million and $11.6 million, respectively. No grants were received during 2016.</w:t>
      </w:r>
    </w:p>
    <w:p>
      <w:pPr>
        <w:spacing w:after="0" w:line="154"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General and administrative expenses consist primarily of personnel-related costs, facilities costs, depreciation and amortization expenses and professional services expenses, including legal, human resources, audit and accounting services. Personnel-related costs consist of salaries, benefits and stock-based compensation. Facilities costs consist of rent and maintenance of facilities. We expect our general and administrative expenses to increase for the foreseeable future due to anticipated increases in headcount to advance our product candidates and as a result of operating as a public company, including expenses related to compliance with the rules and regulations of the SEC, The Nasdaq Global Market, additional insurance expenses, investor relations activities and other administrative and professional services.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Interest and other income, net consists of interest earned on our cash equivalents and short-term investments and foreign currency transaction gains and losses incurred during the period.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Increase /</w:t>
            </w: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04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9,181</w:t>
            </w: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11,153</w:t>
            </w:r>
          </w:p>
        </w:tc>
        <w:tc>
          <w:tcPr>
            <w:tcW w:w="26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1,972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administrative</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10,942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14,996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(10,942)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(14,996)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(4,054)</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(10,908)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(14,775)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(3,867)</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Research and development expenses increased by $2.0 million, or 21%, from $9.2 million for the three months ended March 31, 2017 to $11.2 million for the three months ended March 31, 2018. The increase was primarily due to a $2.6 million increase in third party costs related to advancing our current clinical programs focused on CRC and NHL with our lead product candidate, 5F9, and associated contract manufacturing costs, partially offset by a $1.1 million reduction in expenses related to grant and collaboration funding recognized under the CIRM and LLS grants and a collaboration during the three months ended March 31, 2018. In addition, personnel-related costs, including stock-based compensation, increased by $0.4 million due to increased headcount.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summarize the period-over-period changes in research and development expenses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Increase /</w:t>
            </w: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106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Product-specific costs: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5F9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$7,451</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$ 10,027</w:t>
            </w:r>
          </w:p>
        </w:tc>
        <w:tc>
          <w:tcPr>
            <w:tcW w:w="36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2,576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 and collaboration funding</w:t>
            </w:r>
          </w:p>
        </w:tc>
        <w:tc>
          <w:tcPr>
            <w:tcW w:w="7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(610)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(1,096)</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i w:val="1"/>
                <w:iCs w:val="1"/>
                <w:color w:val="auto"/>
              </w:rPr>
              <w:t>Non product-specific costs: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Personnel-related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1,329</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preclinical programs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9,181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$ 11,153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General and administrative expenses increased by $2.1 million, or 118%, from $1.8 million for the three months ended March 31, 2017 to $3.8 million for the three months ended March 31, 2018. The increase was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308" w:lineRule="auto"/>
        <w:rPr>
          <w:sz w:val="20"/>
          <w:szCs w:val="20"/>
          <w:color w:val="auto"/>
        </w:rPr>
      </w:pPr>
      <w:r>
        <w:rPr>
          <w:rFonts w:ascii="Arial" w:cs="Arial" w:eastAsia="Arial" w:hAnsi="Arial"/>
          <w:sz w:val="17"/>
          <w:szCs w:val="17"/>
          <w:color w:val="auto"/>
        </w:rPr>
        <w:t>primarily due to a $0.9 million increase in accounting and consulting expenses incurred in connection with our preparation to become a public company, a $0.7 million increase in personnel-related costs driven by an increase in headcount and a $0.1 million increase in rent expense.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Interest and other income, net increased by $0.2 million, from $34,000 for the three months ended March 31, 2017 to $0.2 million for the three months ended March 31, 2018. The increase was primarily due to interest income earned from higher average investment balances from the net proceeds from our preferred stock financings completed during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1"/>
              </w:rPr>
              <w:t>Year Ended December 31,</w:t>
            </w: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Increase /</w:t>
            </w: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6"/>
              </w:rPr>
              <w:t>(Decrease)</w:t>
            </w: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14,464</w:t>
            </w:r>
          </w:p>
        </w:tc>
        <w:tc>
          <w:tcPr>
            <w:tcW w:w="1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37,174</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$ 22,710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19,617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45,304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25,687</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(19,617)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(45,304)</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(25,687)</w:t>
            </w: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(19,539)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(44,898)</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(25,359)</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Research and development expenses increased by $22.7 million, or 157%, from $14.5 million in 2016 to $37.2 million in 2017. The increase was primarily due to a $19.0 million increase in third party costs related to advancing our current clinical programs focused on CRC and NHL with our lead product candidate, 5F9, and associated contract manufacturing costs, partially offset by a $3.9 million reduction related to grant funding recognized under the CIRM and LLS grants during 2017. There was also a $4.5 million increase in our other preclinical and discovery programs costs as we expanded our immuno-oncology efforts. In addition, personnel-related costs, including stock-based compensation, increased by $3.0 million as a result of increased headcount.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summarize the period-over-period changes in research and development expenses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Year Ended December 31,</w:t>
            </w: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Increase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06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Product-specific costs:</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5F9</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8,838</w:t>
            </w:r>
          </w:p>
        </w:tc>
        <w:tc>
          <w:tcPr>
            <w:tcW w:w="7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27,873</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$ 19,035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 funding reimbursement</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Non product-specific costs:</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Personnel-related</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3,368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6,258</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preclinical programs</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3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14,464</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37,174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$ 22,710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560" w:type="dxa"/>
            <w:vAlign w:val="bottom"/>
            <w:vMerge w:val="restart"/>
          </w:tcPr>
          <w:p>
            <w:pPr>
              <w:jc w:val="right"/>
              <w:ind w:right="2070"/>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General and administrative expenses increased by $3.0 million, or 58%, from $5.2 million in 2016 to $8.1 million in 2017. The increase was primarily due to a $1.4 million increase in accounting and consulting expenses, and a $1.3 million increase in personnel-related costs driven by an increase in headcount.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Interest and other income, net increased by $0.3 million, from $0.1 million in 2016 to $0.4 million in 2017. The increase was primarily due to $0.3 million in interest income from the investment of the net proceeds from the issuance of our Series A-2 and Series B preferred stock financings completed during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Capital Resources and Plan of Operations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Since our inception through March 31, 2018, our operations have been financed primarily by net proceeds of $149.4 million from the sale of our preferred stock. As of March 31, 2018, we had $78.4 million in cash, cash equivalents and short-term investments, and an accumulated deficit of $84.2 million.</w:t>
      </w:r>
    </w:p>
    <w:p>
      <w:pPr>
        <w:spacing w:after="0" w:line="18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Our primary use of cash is to fund operating expenses, which consist primarily of research and development expenditures related to our lead product candidate, 5F9, and to a lesser extent, general and administrative expenditures. Cash used to fund operating expenses is impacted by the timing of when we pay these expenses, as reflected in the change in our outstanding accounts payable and accrued expenses.</w:t>
      </w:r>
    </w:p>
    <w:p>
      <w:pPr>
        <w:spacing w:after="0" w:line="166"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Based upon our current operating plan, we believe that the net proceeds from this offering, together with our existing cash, cash equivalents and short-term investments, will enable us to fund our operating expenses and capital expenditure requirements through at least the next 12 months from the date of this offering. We have based this estimate on assumptions that may prove to be wrong, and we could utilize our available capital resources sooner than we currently expect.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or debt financings, collaborative or other arrangements with corporate sources, or through other sources of financing. Adequate additional funding may not be available to us on acceptable terms, or at all. Any failure to raise capital as and when needed could have a negative impact on our financial condition and on our ability to pursue our business plans and strategies.</w:t>
      </w:r>
    </w:p>
    <w:p>
      <w:pPr>
        <w:spacing w:after="0" w:line="179"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Further, our operating plans may change, and we may need additional funds to meet operational needs and capital requirements for clinical trials and other research and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spacing w:after="0" w:line="171"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clinical trials, research and development programs or commercialization efforts.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will need to delay, reduce or terminate planned activities to reduce costs. Doing so will likely harm our ability to execute our business plans.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center"/>
              <w:ind w:left="484"/>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100" w:type="dxa"/>
            <w:vAlign w:val="bottom"/>
            <w:gridSpan w:val="2"/>
          </w:tcPr>
          <w:p>
            <w:pPr>
              <w:jc w:val="center"/>
              <w:ind w:left="379"/>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1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90"/>
              </w:rPr>
              <w:t>$(21,815)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(36,937)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(2,348)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$(9,216)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960" w:type="dxa"/>
            <w:vAlign w:val="bottom"/>
            <w:gridSpan w:val="4"/>
          </w:tcPr>
          <w:p>
            <w:pPr>
              <w:jc w:val="right"/>
              <w:ind w:right="240"/>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(63,852)</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(20,029)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6,547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115,464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40,377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23"/>
        </w:trPr>
        <w:tc>
          <w:tcPr>
            <w:tcW w:w="5060" w:type="dxa"/>
            <w:vAlign w:val="bottom"/>
          </w:tcPr>
          <w:p>
            <w:pPr>
              <w:ind w:left="360"/>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(17,892</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14,675</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18,000</w:t>
            </w:r>
          </w:p>
        </w:tc>
        <w:tc>
          <w:tcPr>
            <w:tcW w:w="5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(3,189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During the three months ended March 31, 2018, cash used in operating activities of $9.2 million was attributable to a net loss of $14.8 million, partially offset by a net change of $5.1 million in our net operating assets and liabilities and $0.4 million in non-cash charges. The non-cash charges consisted primarily of stock-based compensation of $0.4 million. The change in operating assets and liabilities was primarily due to a $3.0 million increase in deferred grant funding due to research grant award payments received, a $1.8 million increase in accounts payable and accrued liabilities driven by increased accrued professional fees and a $1.0 million decrease in prepaid expenses and other current assets resulting from the timing of prepayments made for research and development activities. This was partially offset by a $0.6 million increase in other assets primarily resulting from deferred offering costs incurred but not paid.</w:t>
      </w:r>
    </w:p>
    <w:p>
      <w:pPr>
        <w:spacing w:after="0" w:line="189"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During the three months ended March 31, 2017, cash used in operating activities of $2.3 million was attributable to a net loss of $10.9 million, partially offset by a net change of $8.4 million in our net operating assets and liabilities and $0.1 million in non-cash charges, which consisted of depreciation and amortization and stock-based compensation. The change in operating assets and liabilities was primarily due to a $4.1 million increase in deferred grant funding due to research grant award payments received, a $3.5 million increase in accounts payable and accrued liabilities resulting primarily from increases in our research and development activities and a $1.3 million decrease in prepaid expenses and other current assets resulting from the timing of prepayments made for research and development activities, partially offset by a $0.4 million increase in other assets due to prepayments made for long-term research and development activities.</w:t>
      </w:r>
    </w:p>
    <w:p>
      <w:pPr>
        <w:spacing w:after="0" w:line="178"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In 2017, cash used in operating activities of $36.9 million was attributable to a net loss of $44.9 million partially offset by $1.1 million in non-cash charges and a net change of $6.9 million in our net operating assets and liabilities. The non-cash charges consisted of stock-based compensation of $0.7 million and depreciation and amortization of $0.4 million. The change in operating assets and liabilities was primarily due to $4.6 million increase in accounts payable and accrued liabilities resulting from increases in our operating activities, primarily in research and development, and a $2.8 million increase in deferred grant funding due to research grant award payments received. This was partially offset by a $0.6 million decrease in prepaid expenses and other current assets resulting from the timing of prepayments made for research and development activities.</w:t>
      </w:r>
    </w:p>
    <w:p>
      <w:pPr>
        <w:spacing w:after="0" w:line="165"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 2016, cash used in operating activities of $21.8 million was attributable to a net loss of $19.5 million and a net change of $2.7 million in our net operating assets and liabilities, partially offset by $0.4 million in non-cash charges. The non-cash charges consisted of stock-based compensation of $0.3 million and depreciation and amortization of $0.1 million. The change in operating assets and liabilities was primarily due to a $3.9 million decrease in prepaid expenses and a $1.7 million decrease in other assets resulting from the timing of prepayments made for research and development activities, partially offset by a $2.8 million increase in accounts payable and accrued liabilities primarily driven by increases in accrued compensation and our research and development activities.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During the three months ended March 31, 2018, cash provided by investing activities of $6.5 million was related to the maturity of investments of $20.9 million, partially offset by the purchase of short-term investments of $14.4 million.</w:t>
      </w:r>
    </w:p>
    <w:p>
      <w:pPr>
        <w:spacing w:after="0" w:line="17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During the three months ended March 31, 2017, cash used for investing activities of $20.0 million was related primarily to the purchase of short-term investments from the cash proceeds received from our preferred stock issuances.</w:t>
      </w:r>
    </w:p>
    <w:p>
      <w:pPr>
        <w:spacing w:after="0" w:line="17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In 2017, cash used for investing activities of $63.9 million was related primarily to the purchase of short-term investments of $79.7 million from the cash proceeds received from our preferred stock issuances, partially offset by the maturity of investments of $16.0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2016, cash used for investing activities of $1.1 million was related to capital expenditures on the purchase of property and equipment.</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three months ended March 31, 2018, cash used in financing activities of $0.5 million was related to payments of deferred offering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costs.</w:t>
      </w:r>
    </w:p>
    <w:p>
      <w:pPr>
        <w:spacing w:after="0" w:line="21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During the three months ended March 31, 2017, cash provided by financing activities of $40.4 million was related to the net proceeds from the issuance of preferred stock.</w:t>
      </w:r>
    </w:p>
    <w:p>
      <w:pPr>
        <w:spacing w:after="0" w:line="17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In 2017, cash provided by financing activities of $115.5 million was related to net proceeds of $115.2 million from the issuance of preferred stock and $0.3 million from the issuance of common stock in connection with stock option exercises.</w:t>
      </w:r>
    </w:p>
    <w:p>
      <w:pPr>
        <w:spacing w:after="0" w:line="17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In 2016, cash provided by financing activities of $5.0 million was related to net proceeds of $4.6 million from the issuance of preferred stock and $0.4 million from the issuance of common stock in connection with stock option exercises.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commitments and contractual obligations as of December 31,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0"/>
                <w:szCs w:val="10"/>
                <w:color w:val="auto"/>
              </w:rPr>
            </w:pP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Less than 1</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1-3 Years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3-5 Years</w:t>
            </w:r>
          </w:p>
        </w:tc>
        <w:tc>
          <w:tcPr>
            <w:tcW w:w="50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Year</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6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Contract manufacturing obligations</w:t>
            </w: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37,187</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27,499</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41,384</w:t>
            </w:r>
          </w:p>
        </w:tc>
        <w:tc>
          <w:tcPr>
            <w:tcW w:w="6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29,801</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enter into agreements in the normal course of business with contract research organizations for clinical trials and with vendors for preclinical studies and other services and products for operating purposes which are cancelable at any time by us, generally upon 30 days prior written notice. These payments are not included in this table of contractual obligations.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 Manufacturing Agreement</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In August 2016 and December 2017, we entered into development and manufacturing agreements with Lonza relating to the manufacturing of 5F9-related products. The August 2016 agreement was amended in November 2017 to provide for the manufacturing of our other preclinical program related products.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Under the 2016 agreement, we are required to pay an annual suite reservation fee in each contract year along with the costs of ingredients, solvents and other components of 5F9 and our preclinical program-related products. The fees under the 2016 agreement are specified in British Pounds and are converted into U.S. Dollars based on the exchange rate as of December 31, 2017.</w:t>
      </w:r>
    </w:p>
    <w:p>
      <w:pPr>
        <w:spacing w:after="0" w:line="181"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Our payment obligations under the 2017 agreement will begin in January 2019 and run through the expiration of the agreement, which is expected in December 2021, unless the agreement is extended for at least an additional year. Under the 2017 agreement, we must also pay the costs of ingredients, solvents and other components of 5F9-related products required for the performance of the manufacturing process or services. Collectively under the 2016 and 2017 agreements we could be required to pay up to an aggregate of $43.4 million in annual suite reservation fees through 2020. The potential payments due to Lonza under both the 2016 and 2017 agreements in 2021 are subject to our right to discontinue such manufacturing services and are excluded from the commitments and contractual obligations table above.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1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In November 2015, we entered into a technology license agreement with Stanford under which Stanford granted us exclusive licenses under certain patents and other intellectual property rights relating to our current product candidates, including 5F9 and non-exclusive licenses under certain other patents and other intellectual property rights to develop, manufacture and commercialize products for use in certain licensed fields, including oncology. We are required to make milestone payments up to $5.6 million in respect of the first three licensed products that successfully satisfy certain clinical and regulatory milestones in the United States, major European countries and Japan. The first such milestone payment of $75,000 was paid to Stanford in February 2018. In addition, we are required to pay Stanford a minimum annual fee and a royalty of a tiered single digit percentage on net sales of licensed products, reimburse patent-related expenses and share any non-royalty sublicensing income received related to the licensed technology. For more information, see “Business—License and Collaboration Agreements.”</w:t>
      </w:r>
    </w:p>
    <w:p>
      <w:pPr>
        <w:spacing w:after="0" w:line="179"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In September 2016, we entered into a collaboration agreement with The University of Texas MD Anderson Cancer Center that grants us access to their immunotherapy platform. The platform provides instrumentation and technical support for cellular and molecular analysis of experimental therapies effects on the immune system in order to gain insight into mechanisms of action and to discover biomarkers to identify patients who are likely to respond to or develop adverse reactions to therapies. Pursuant to the terms of the collaboration agreement, we are required to make quarterly payments of $250,000 for three years.</w:t>
      </w:r>
    </w:p>
    <w:p>
      <w:pPr>
        <w:spacing w:after="0" w:line="188"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In January 2017, we were awarded a research grant from CIRM supporting our CRC trial. The CIRM grant stipulates various milestone-based payments to us with the total award of $10.2 million over a period of four years. As of March 31, 2018, we had received $7.2 million under the award. In November 2017, we were awarded a second research grant from CIRM for a separate clinical trial study in AML. The total amount of the research grant awarded was $5.0 million in various milestone-based payments over a period of five years. As of March 31, 2018, we had received $2.1 million under the award. Under the terms of the CIRM grants, we are obligated to pay royalties and licensing fees based on a low single digit royalty percentage on net sales of CIRM-funded product candidates or CIRM-funded technology. We have the option to decline any and all amounts awarded by CIRM. As an alternative to revenue sharing, we have the option to convert each award to a loan, which option must be exercised on or before ten business days after the FDA notifies us that it has accepted our application for marketing authorization. In the event we exercise our right to convert an award to a loan, we will be obligated to repay the loan within ten business days of making such election, including interest at the rate equal to the three-month LIBOR rate (2.31% as of March 31, 2018) plus zero to 30% per annum that varies depending on the stage of the research and the stage of development at the time the election is made. In the event that we terminate a CIRM-funded clinical trial, we will be obligated to repay the remaining CIRM funds on hand.</w:t>
      </w:r>
    </w:p>
    <w:p>
      <w:pPr>
        <w:spacing w:after="0" w:line="18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March 2017, we entered into an agreement with LLS regarding our NHL rituximab combination clinical trial. The LLS research grant stipulates various milestone-based payments with a total award of $4.0 million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through December 2019. As of March 31, 2018, we had received $2.3 million under the award. We are required to pay LLS certain development and regulatory approval milestone payments, as well as a low single digit percentage royalty on net sales, up to a maximum of $15 million in total.</w:t>
      </w:r>
    </w:p>
    <w:p>
      <w:pPr>
        <w:spacing w:after="0" w:line="147"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We have not included these potential contingent payment obligations in the table above as the timing and likelihood of such payments is not known. These payments generally become due and payable only upon achievement of certain development, regulatory or commercial milestones.</w:t>
      </w:r>
    </w:p>
    <w:p>
      <w:pPr>
        <w:spacing w:after="0" w:line="14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 January 2018, we entered into a clinical trial collaboration and supply agreement with Merck, to evaluate 5F9 combined with Merck’s cancer immunotherapy, avelumab, in a Phase 1b clinical trial in patients with ovarian cancer. Pursuant to the agreement, the parties will jointly pay for the cost of the study. As of March 31, 2018, we recorded a receivable of $0.2 million from Merck for reimbursement of research and development costs incurred.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 Purchase Agreement</w:t>
      </w:r>
    </w:p>
    <w:p>
      <w:pPr>
        <w:spacing w:after="0" w:line="225"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In June 2018, we entered into an asset purchase agreement with BliNK Biomedical SAS, or BliNK, pursuant to which we acquired all of BliNK’s assets relating to its research and development program for antibodies directed against CD47. These assets predominately consist of certain patents and patent applications of BliNK and BliNK’s opposition at the EPO against the third-party patent European Patent No. EP 2 282 772 as an acquired business asset. We paid BliNK an initial upfront payment of $2 million and will pay BliNK an additional $1 million upon the completion of certain agreed activities by BliNK relating to the transfer of the assets to us. For each product incorporating a program antibody that satisfies certain clinical and commercial milestones in the United States, the European Union and Japan, we will be required to make milestone payments of up to $43 million. Until we receive marketing approval for the first product, or for so long as we continue development of product candidates related to the acquired intellectual property, we will pay BliNK a minimum annual fee of $0.3 million. In addition we will pay BliNK a royalty of a tiered single digit percentage on net sales of any approved products. We have the right to buy out our royalty obligations in full by paying BliNK an agreed lump sum amount prior to the occurrence of certain defined events. We have not included these potential contingent payment obligations in the table above as the timing and likelihood of such payments is not known.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During 2016, 2017 and the three months ended March 31, 2018, we did not have any off-balance sheet arrangements as defined in Item 303 of Regulation S-K.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We held cash, cash equivalents and short-term investments of $88.1 million and $78.4 million as of December 31, 2017 and March 31, 2018, respectively. which consist of bank deposits, money market funds and available-for-sale securities. Such interest-earning instruments carry a degree of interest rate risk; however, historical fluctuations in interest income have not been significant for us. Due to the short-term maturities of our cash equivalents and marketable securities, and the low risk profile of our marketable securities, an immediate 100 basis point change in interest rates would not have a material effect on the fair market value of our cash equivalents and marketable securities.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expenses are generally denominated in U.S. dollars. However, we have entered into a limited number of contracts with vendors for research and development services with payments denominated in foreign currencies, including the British Pound.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results.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Accrued Research and Development Expenditures</w:t>
      </w:r>
    </w:p>
    <w:p>
      <w:pPr>
        <w:spacing w:after="0" w:line="117"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We record accrued expenses for estimated preclinical study and clinical trial expenses. Estimates are based on the services performed pursuant to contracts with research institutions and contract research organizations and clinical manufacturing organizations that conduct and manage preclinical studies and clinical trials on our behalf based on actual time and expenses incurred by them. Further, we accrue expenses related to clinical trials based on the level of patient enrollment and activity according to the related agreement. We monitor patient enrollment levels and related activity to the extent reasonably possible and make judgments and estimates in determining the accrued balance in each reporting period. If we underestimate or overestimate the level of services performed or the costs of these services, our actual expenses could differ from our estimates. To date, we have not experienced significant changes in our estimates of preclinical studies and clinical trial accruals.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recognize compensation costs related to stock-based awards granted to employees and directors, including stock options, based on the estimated fair value of the awards on the date of grant. We estimate the grant date fair value, and the resulting stock-based compensation, using the Black-Scholes option-pricing model. The grant date fair value of the stock-based awards is generally recognized on a straight-line basis over the requisite service period, which is generally the vesting period of the respective awards.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Black-Scholes option-pricing model requires the use of highly subjective assumptions to determine the fair value of stock-based awards.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assumptions include:</w:t>
      </w:r>
    </w:p>
    <w:p>
      <w:pPr>
        <w:spacing w:after="0" w:line="116" w:lineRule="exact"/>
        <w:rPr>
          <w:sz w:val="20"/>
          <w:szCs w:val="20"/>
          <w:color w:val="auto"/>
        </w:rPr>
      </w:pPr>
    </w:p>
    <w:p>
      <w:pPr>
        <w:jc w:val="both"/>
        <w:ind w:left="1060" w:hanging="424"/>
        <w:spacing w:after="0" w:line="264"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grants is determined using the simplified method. The simplified method deems the expected term to be the midpoint between the vesting date and the contractual life of the stock-based awards.</w:t>
      </w:r>
    </w:p>
    <w:p>
      <w:pPr>
        <w:spacing w:after="0" w:line="86" w:lineRule="exact"/>
        <w:rPr>
          <w:rFonts w:ascii="Arial" w:cs="Arial" w:eastAsia="Arial" w:hAnsi="Arial"/>
          <w:sz w:val="18"/>
          <w:szCs w:val="18"/>
          <w:color w:val="auto"/>
        </w:rPr>
      </w:pPr>
    </w:p>
    <w:p>
      <w:pPr>
        <w:jc w:val="both"/>
        <w:ind w:left="1060" w:hanging="424"/>
        <w:spacing w:after="0" w:line="259"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have been privately held and do not have any trading history for our common stock,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estimated based on the average volatility for comparable publicly traded biotechnology companies over a period equal to the expected term of the stock option grants. The comparable companies were chosen based on their similar size, stage in the life cycle or area of specialty.</w:t>
      </w:r>
    </w:p>
    <w:p>
      <w:pPr>
        <w:spacing w:after="0" w:line="92"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2016 and 2017, stock-based compensation was $0.2 million and $0.7 million, respectively. For the three months ended March 31, 2017 and 2018, stock-based compensation was $59,000 and $0.4 million,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As of March 31, 2018, we had $6.0 million of total unrecognized stock-based compensation which we expect to recognize over a weighted-average period of 3.4 years. Subsequent to March 31, 2018, we granted additional options to purchase 1,199,143 shares of common stock with a weighted-average exercise price of $8.91 per share and expect to recognize total stock-based compensation expense related to such grants of approximately $7.4 million over 3.7 years.</w:t>
      </w:r>
    </w:p>
    <w:p>
      <w:pPr>
        <w:spacing w:after="0" w:line="18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 xml:space="preserve">Historically, for all periods prior to this initial public offering, the fair values of the shares of common stock underlying our share-based awards were estimated on each grant date by our board of directors. In order to determine the fair value of our common stock underlying option grants, our board of directors considered, among other things, valuations of our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Issued as Compensation.</w:t>
      </w:r>
    </w:p>
    <w:p>
      <w:pPr>
        <w:spacing w:after="0" w:line="188"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For our valuations performed prior to December 31, 2017, we used the OPM Backsolve method. In an option pricing method, or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 Furthermore, as of each of the valuation dates prior to December 31, 2017, we were at an early stage of development and future liquidity events were difficult to forecast.</w:t>
      </w:r>
    </w:p>
    <w:p>
      <w:pPr>
        <w:spacing w:after="0" w:line="19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For our valuations performed starting January 1, 2018, equity value was allocated using the OPM and the Probability Weighted Expected Return Method, or PWERM, or the hybrid method. The hybrid method applied the PWERM utilizing the probability of going public and the OPM was utilized in the remaining private scenario. The hybrid method was used commencing January 1, 2018 because of a near-term potential IPO scenario that also factored in the inherent uncertainty associated with being able to complete an IPO.</w:t>
      </w:r>
    </w:p>
    <w:p>
      <w:pPr>
        <w:spacing w:after="0" w:line="187"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Given the absence of a public trading market for our common stock, our board of directors exercised their judgment and considered a number of objective and subjective factors to determine the best estimate of the fair value of our common stock, including important developments in our operations, valuations performed by an independent third party, sales of preferred stock, actual operating results and financial performance, the conditions in the biotechnology industry and the economy in general, the stock price performance and volatility of comparable public companies, and the lack of liquidity of our common stock, among other factors. After the closing of this offering, our board of directors will determine the fair value of each share of underlying common stock based on the closing price of our common stock as reported on the date of the grant. Our board of directors intended all options granted to be exercisable at a price per share not less than the per share fair value of our common stock underlying those options on the grant date.</w:t>
      </w:r>
    </w:p>
    <w:p>
      <w:pPr>
        <w:spacing w:after="0" w:line="192"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Based upon the assumed initial public offering price of $15.00 per share, the midpoint of the price range set forth on the cover of this prospectus, the aggregate intrinsic value of options outstanding as of March 31, 2018 was $22.8 million, of which $3.1 million related to vested options and $19.7 million related to unvested options. The aggregate intrinsic value of options granted subsequent to March 31, 2018 was $7.3 million, all of which options are unvested as of the date of this 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 xml:space="preserve">In February 2016, the Financial Accounting Standards Board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provides accounting guidance for both lessee and lessor accounting models. The principle of ASU 2016-02 is that a lessee should recognize the assets and liabilities that arise from leases. Lessees will need to recognize a right-of-use asset and a lease liability for virtually all of their leases (other than leases that meet the definition of a short-term lease). The liability will be equal to the present value of lease payments. The asset will be based on the liability. For income statement purposes, ASU 2016-02 requires leases to be classified as either operating or finance. Operating leases will result in straight-line expense while finance leases will result in a front-loaded expense pattern. ASU 2016-02 is effective for years beginning after December 15, 2019. Early adoption is permitted. The new standard must be adopted using a modified-retrospective transition and provides for certain practical expedients. We are currently evaluating the effects of the adoption of this ASU on our financial statements.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are a clinical-stage immuno-oncology company focused on developing novel checkpoint therapies to activate macrophages in the fight against cancer. We founded Forty Seven based on the insight that blocking CD47, a key signaling molecule that is overexpressed on cancer cells, renders tumors susceptible to macrophages. By harnessing macrophages, we believe that our lead product candidate, 5F9, dosed as a monotherapy or in combination with marketed cancer therapies, can transform the treatment of cancer. 5F9 has demonstrated promising activity in six Phase 1b/2 clinical trials in which we have treated over 190 relapsed or refractory cancer patients with solid or hematologic tumors. We hold worldwide rights to all of our product candidates.</w:t>
      </w:r>
    </w:p>
    <w:p>
      <w:pPr>
        <w:spacing w:after="0" w:line="193"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We focus our efforts on targeting the CD47 pathway as a way to engage macrophages in fighting tumors. Macrophages function as first responders, swallowing foreign and abnormal cells, including cancer cells, and mobilizing other components of the immune system including T cells and antibodies. Cancer cells use CD47, a “don’t eat me,” signal, in order to evade detection by the immune system and subsequent destruction by macrophages. Overexpression of CD47 is common to nearly all types of tumors and is also correlated with poor prognosis in multiple cancers including AML, CRC, gastric cancer, lung cancer, NHL and ovarian cancer. Despite the central role of macrophages as cell-eating scavengers and first responders, the pharmaceutical industry is only beginning to bring this key group of cells into the fight against cancer.</w:t>
      </w:r>
    </w:p>
    <w:p>
      <w:pPr>
        <w:spacing w:after="0" w:line="178"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Our company was founded by leading scientists at Stanford University who uncovered the fundamental role of CD47 in cancer evasion. They discovered that CD47 sends out a “don’t eat me” signal to macrophages. This has been supported by multiple lines of evidence, including elevated levels of CD47 in a wide range of cancer cells and an observed correlation of a decrease in survival in patients with high levels of CD47.</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Preclinical work performed in the laboratory of our co-founder, Irv Weissman, at Stanford University demonstrated that:</w:t>
      </w:r>
    </w:p>
    <w:p>
      <w:pPr>
        <w:spacing w:after="0" w:line="131" w:lineRule="exact"/>
        <w:rPr>
          <w:sz w:val="20"/>
          <w:szCs w:val="20"/>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Blocking the CD47 “don’t eat me” signaling pathway leads to elimination of many types of tumors and increased survival;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Boosting an “eat me” signal found on cancer cells using therapeutic antibodies results in a synergistic effect with blocking CD47; and</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Macrophages digest cancer cells in a process called phagocytosis and present tumor-specific antigens that can activate T cells against the cancer, thus creating the potential for synergy with T cell checkpoint inhibitors.</w:t>
      </w:r>
    </w:p>
    <w:p>
      <w:pPr>
        <w:spacing w:after="0" w:line="17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clinical trials are investigating three types of CD47 therapy: as a monotherapy, in combination with therapeutic antibodies, and in combination with checkpoint inhibitors, in a wide variety of tumors, including both solid and hematological cancers.</w:t>
      </w:r>
    </w:p>
    <w:p>
      <w:pPr>
        <w:spacing w:after="0" w:line="170"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 targeting of CD47 to make cancer cells susceptible to macrophages, a component of the innate immune system, is analogous to the approach that has been applied with checkpoint inhibitors and T cells, a component of the adaptive immune system. In less than five years on the market, T cell checkpoint inhibitors have become frontline therapies for certain cancers and we estimate that they generated over $9 billion in sales in 2017. Despite the success of T cell checkpoint inhibitors, these therapies have been shown to be effective only in a subset of tumors, highlighting the need for additional therapies. Similar to the way cancer cells overexpress PD-L1 to avoid attack by T cells, cancer cells overexpress CD47 as a way to avoid destruction by macrophages. We believe targeting CD47 represents a compelling and analogous approach.</w:t>
      </w:r>
    </w:p>
    <w:p>
      <w:pPr>
        <w:spacing w:after="0" w:line="17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lead product candidate, 5F9, is a humanized IgG4 subclass monoclonal antibody against CD47 that is designed to interfere with recognition of CD47 by the SIRPa receptor on macrophages, thus blocking the “don’t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eat me” signal. The design of 5F9 combined with our proprietary dosing regimen overcomes the toxicity limitations of previously tested anti-CD47 therapies developed by others. Across all study populations, 5F9 has been well tolerated with no MTD observed in any study despite dosing up to 45 mg/kg. The most common treatment-associated effects observed to date were the expected CD47-mechanism-based effects on red blood cells which led to a temporary and reversible anemia. Other reported treatment related adverse events include infusion reactions, headache, fatigue, chills, fever and nausea. The majority of these adverse events were mild to moderate severity and were generally easily managed. See “Business—Our Lead Product Candidate, 5F9—Safety Profile of 5F9.”</w:t>
      </w:r>
    </w:p>
    <w:p>
      <w:pPr>
        <w:spacing w:after="0" w:line="19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have treated over 190 relapsed or refractory cancer patients with 5F9 both as a monotherapy and in combination with therapeutic antibodies such as rituximab and cetuximab. While the primary goal of our trials has been to demonstrate safety, we also observed early signs of clinical activity in multiple tumor types.</w:t>
      </w:r>
    </w:p>
    <w:p>
      <w:pPr>
        <w:spacing w:after="0" w:line="181"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In our ongoing trials, 5F9 treatment has demonstrated biological responses and multiple cases of stable disease in Phase 1 as a monotherapy for patients with refractory AML. In biologic responders, we confirmed the presence of macrophages in tumor tissues and we observed that other components of the immune system, including T cells, had been recruited. In our studies of 5F9 as a monotherapy in solid tumors, such as CRC and ovarian cancer, we observed stable disease and, in some cases, tumor shrinkage leading to objective responses.</w:t>
      </w:r>
    </w:p>
    <w:p>
      <w:pPr>
        <w:spacing w:after="0" w:line="17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are also investigating 5F9 as a monotherapy in ovarian cancer and other solid tumors. In a Phase 1 trial of 5F9, we observed confirmed partial responses in 2 out of 21 evaluable patients in a cohort with ovarian cancer receiving either 20 mg/kg or higher doses of 5F9, as of April 2018. Both were heavily pre-treated patients failing seven or more previous treatment regimens. One of these patients had a durable partial response of more than six months in duration. Results of this trial are expected in the first half of 2019.</w:t>
      </w:r>
    </w:p>
    <w:p>
      <w:pPr>
        <w:spacing w:after="0" w:line="187"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In addition to continuing our trials using 5F9 as a monotherapy, we are also pursuing multiple trials of 5F9 in combination with therapeutic cancer antibodies in order to test the synergistic potency of these combinations. We believe that we can enhance the effect of 5F9 on cancer by using therapeutic antibodies that bind cancer cells to present an “eat me” signal to macrophages. Hence, we are combining 5F9 with cancer-cell-binding antibodies such as rituximab and cetuximab. Based on our preclinical research and on publications by academic groups, we believe that this combination of an “eat me” signal by these antibodies and the blocking of a “don’t eat me” signal by 5F9 could be highly effective. We are conducting a Phase 1b/2 combination trial using 5F9 and rituximab in patients with relapsed and refractory NHL. As of April 2018, 30 patients with refractory NHL have been evaluated in Phase 1b/2 and 14 (47%) have had an objective response during the dose finding study of 5F9 in combination with rituximab. In 10 (33%) of these patients, we observed a complete response, an uncommon therapeutic finding for such a heavily pre-treated population. Based on our application summarizing the early NHL trial data, the FDA granted Fast Track designations to 5F9 for the treatment of both relapsed and/or refractory DLBCL and relapsed and/or refractory FL in April 2018. Having obtained Fast Track status, we have scheduled an end of Phase 1 meeting with the FDA in July 2018 to further discuss our NHL trials. Final results from this trial are expected in early 2019. We are also conducting a Phase 1b/2 combination clinical trial using 5F9 and cetuximab in patients with CRC. Results from this trial are expected in the first half of 2019.</w:t>
      </w:r>
    </w:p>
    <w:p>
      <w:pPr>
        <w:spacing w:after="0" w:line="169"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believe there is a strong rationale to combine 5F9 and T cell checkpoint inhibitors and we plan to initiate combination clinical trials in both solid and hematological tumors. 5F9 induces a potent anti-tumor T cell response by enabling macrophages to ingest cancer cells and present antigens derived from these cancer cells to T cells. Thus, we believe the combination of a T cell checkpoint inhibitor with 5F9 is likely to further enhance an anti-tumor T cell response and to further mobilize both the innate and adaptive immune systems to eliminate cancer.</w:t>
      </w:r>
    </w:p>
    <w:p>
      <w:pPr>
        <w:spacing w:after="0" w:line="17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early 2018, we announced clinical trial collaboration and supply agreements with two pharmaceutical companies to combine 5F9 with PD-L1 checkpoint inhibitors, while retaining full economic rights to our products. Pursuant to these agreements, we are conducting clinical trials with Merck KGaA on the combination of 5F9 with BAVENCIO (avelumab) in ovarian cancer patients; and with Genentech, a member of the Roche Group, on the combination of 5F9 and TECENTRIQ (atezolizumab) in patients with bladder cancer and in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patients with AML. The avelumab combination trial has started and we dosed the first patient in June 2018. We believe the combination trials with atezolizumab will be initiated in early 2019. We will supply 5F9, and Merck KGaA and Genentech will supply their respective drug products for these trials.</w:t>
      </w:r>
    </w:p>
    <w:p>
      <w:pPr>
        <w:spacing w:after="0" w:line="181"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Our company was founded by leading scientists at Stanford University who uncovered the fundamental role of CD47 in immune regulation and applied these findings to the field of immuno-oncology. We have an exclusive license to this technology and to our lead product candidate, 5F9, from Stanford. Our goal is to accelerate regulatory approval of 5F9 through execution of multiple clinical trials in parallel to identify areas of highest efficacy. We have assembled a team of executives with broad industry experience in biologics and other therapeutics, as well as strong academic and clinical backgrounds. Our management team has worked for pharmaceutical companies such as Abbott Laboratories, Amgen, Genentech, Gilead, Janssen Global Services, LLC, PDL Biopharma, Inc. and Sandoz Inc. We have funded our operations to date primarily from the issuance and sale of our preferred stock to investors, including Lightspeed Venture Partners, Sutter Hill Ventures, Clarus, GV and Wellington Management Company, and from the receipt of government and private grants. We are eligible to receive up to $19.2 million in grants from CIRM and LLS as financial support for our clinical trials in AML, CRC and NHL, of which $11.6 million has been received through March 31, 2018.</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Development Pipeline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development programs, target indications and current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13985" cy="22898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goal is to transform the treatment of cancer by leveraging our scientific expertise and lead product candidate to engage macrophages to help patients defeat their cancer.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strategy includes the following components:</w:t>
      </w:r>
    </w:p>
    <w:p>
      <w:pPr>
        <w:spacing w:after="0" w:line="131" w:lineRule="exact"/>
        <w:rPr>
          <w:sz w:val="20"/>
          <w:szCs w:val="20"/>
          <w:color w:val="auto"/>
        </w:rPr>
      </w:pPr>
    </w:p>
    <w:p>
      <w:pPr>
        <w:jc w:val="both"/>
        <w:ind w:left="1060" w:hanging="424"/>
        <w:spacing w:after="0" w:line="31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a focus on our core mission of helping patients defeat their cancer. </w:t>
      </w:r>
      <w:r>
        <w:rPr>
          <w:rFonts w:ascii="Arial" w:cs="Arial" w:eastAsia="Arial" w:hAnsi="Arial"/>
          <w:sz w:val="16"/>
          <w:szCs w:val="16"/>
          <w:color w:val="auto"/>
        </w:rPr>
        <w:t>By focusing on patients first, we believe we can realize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full potential of our therapies. Our initial efforts are directed at patients with high unmet medical needs, such as those diagnosed with AML, CRC, NHL or ovarian cancer. We believe there are patients with many other types of cancers that our product candidates can help.</w:t>
      </w:r>
    </w:p>
    <w:p>
      <w:pPr>
        <w:spacing w:after="0" w:line="52"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therapeutic and commercial potential of 5F9 by exploring its treatment of both solid and hematological tumors. </w:t>
      </w:r>
      <w:r>
        <w:rPr>
          <w:rFonts w:ascii="Arial" w:cs="Arial" w:eastAsia="Arial" w:hAnsi="Arial"/>
          <w:sz w:val="18"/>
          <w:szCs w:val="18"/>
          <w:color w:val="auto"/>
        </w:rPr>
        <w:t>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understanding of the CD47 SIRPa pathway and data from</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80"/>
        <w:spacing w:after="0" w:line="279" w:lineRule="auto"/>
        <w:rPr>
          <w:sz w:val="20"/>
          <w:szCs w:val="20"/>
          <w:color w:val="auto"/>
        </w:rPr>
      </w:pPr>
      <w:r>
        <w:rPr>
          <w:rFonts w:ascii="Arial" w:cs="Arial" w:eastAsia="Arial" w:hAnsi="Arial"/>
          <w:sz w:val="17"/>
          <w:szCs w:val="17"/>
          <w:color w:val="auto"/>
        </w:rPr>
        <w:t>preclinical animal models, we believe 5F9 has the potential to benefit patients in a broad range of tumor types and in combination with other approved oncology therapeutics. We are currently evaluating 5F9 in six clinical trials and by early 2019, we expect to have seven clinical trials underway. These trials will read out in 2018 and 2019 and based on these data we expect to initiate additional trials with 5F9 to support regulatory approval and to explore the use of 5F9 in multiple cancer indications.</w:t>
      </w:r>
    </w:p>
    <w:p>
      <w:pPr>
        <w:spacing w:after="0" w:line="73" w:lineRule="exact"/>
        <w:rPr>
          <w:sz w:val="20"/>
          <w:szCs w:val="20"/>
          <w:color w:val="auto"/>
        </w:rPr>
      </w:pPr>
    </w:p>
    <w:p>
      <w:pPr>
        <w:jc w:val="both"/>
        <w:ind w:left="1060" w:hanging="424"/>
        <w:spacing w:after="0" w:line="277"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Invest early to secure a clinical and commercial supply of 5F9 to mitigate risk and ensure a timely regulatory approval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Although 5F9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utilizes standard antibody manufacturing processes, we recognize that any regulatory approval requires experience and expertise in the commercial manufacturing of 5F9. In 2016, we completed a strategic manufacturing agreement with Lonza, a global leader in biologics manufacturing. The multi-year arrangement helps ensure sufficient clinical material for our existing trials and provides a path to generate the required manufacturing information that is part of a BLA and initial commercial supplies.</w:t>
      </w:r>
    </w:p>
    <w:p>
      <w:pPr>
        <w:spacing w:after="0" w:line="73" w:lineRule="exact"/>
        <w:rPr>
          <w:rFonts w:ascii="Arial" w:cs="Arial" w:eastAsia="Arial" w:hAnsi="Arial"/>
          <w:sz w:val="17"/>
          <w:szCs w:val="17"/>
          <w:color w:val="auto"/>
        </w:rPr>
      </w:pPr>
    </w:p>
    <w:p>
      <w:pPr>
        <w:jc w:val="both"/>
        <w:ind w:left="1060" w:hanging="424"/>
        <w:spacing w:after="0" w:line="277"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Pursue collaborative relationships and in-licensing opportunities to help advance and expand our product candidate portfolio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 to our internal drug discovery and development efforts, we plan to identify and pursue strategic collaborative relationships, partnerships and in-licensing opportunities to enhance the development of our current programs and access additional novel product candidates. As examples, in January 2018 we announced clinical trial collaboration and supply agreements with both Merck KGaA and Genentech to explore the utility of 5F9 in combination with approved checkpoint inhibitors.</w:t>
      </w:r>
    </w:p>
    <w:p>
      <w:pPr>
        <w:spacing w:after="0" w:line="77" w:lineRule="exact"/>
        <w:rPr>
          <w:rFonts w:ascii="Arial" w:cs="Arial" w:eastAsia="Arial" w:hAnsi="Arial"/>
          <w:sz w:val="17"/>
          <w:szCs w:val="17"/>
          <w:color w:val="auto"/>
        </w:rPr>
      </w:pPr>
    </w:p>
    <w:p>
      <w:pPr>
        <w:jc w:val="both"/>
        <w:ind w:left="1060" w:hanging="424"/>
        <w:spacing w:after="0" w:line="259"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Prepare for an active role in commercialization in the United States while considering opportunities to engage with partners to access commercialization capabilities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worldwide rights to 5F9. If 5F9 receives marketing approval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we intend to commercialize it with our own focused, specialty sales and marketing organization. We may explore partnering with a third party to commercialize and market 5F9 in certain geographies.</w:t>
      </w:r>
    </w:p>
    <w:p>
      <w:pPr>
        <w:spacing w:after="0" w:line="92"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knowledge and expertise in immune system and cancer biology to develop a pipeline of novel cancer therapeutics. </w:t>
      </w:r>
      <w:r>
        <w:rPr>
          <w:rFonts w:ascii="Arial" w:cs="Arial" w:eastAsia="Arial" w:hAnsi="Arial"/>
          <w:sz w:val="18"/>
          <w:szCs w:val="18"/>
          <w:color w:val="auto"/>
        </w:rPr>
        <w:t>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 to utilize CD47 and its associated immune activation pathways to their fullest potential to help patients defeat their cancer. This includes the development of our existing programs and the pursuit of new programs in the future.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Scientific Background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Role of Macrophages in the Treatment of Cancer</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innate and adaptive components of the human immune system form a complex organization of tissues, cells and proteins that serve to protect the body from invading pathogens. For the body to mount an effective response to a foreign cell or a cancer cell, the innate and adaptive immune systems must generally work in concert.</w:t>
      </w:r>
    </w:p>
    <w:p>
      <w:pPr>
        <w:spacing w:after="0" w:line="181"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Macrophages, a key component of the innate immune system, serve as a first line of immune defense and initiate an immune response based on non-specific signals of foreign or abnormal cells. Macrophages also play a key role in alerting cells of the adaptive immune system to the presence of potential targets such as cancer cells. By making cancer cells susceptible to macrophages, we believe that our therapeutic candidates can be effective both as a monotherapy and in combination with other immunotherapies, such as the PD-1/PD-L1-directed and CTLA-4-directed checkpoint inhibitors.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Role of Macrophages in the Innate and Adaptive Immune Response</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innate immune system, of which macrophages are a key component, serves as the first line of immune defense. Macrophages specialize in engulfing and digesting cellular debris, foreign substances, invading microorganisms and other cells. Macrophages determine what to attack by recognizing certain “eat me” signals common to pathogens or cancer cells.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Macrophages also play a key role in alerting highly-specialized cells of the adaptive immune system of the presence of potential targets, including cancer cells. Although these highly specialized adaptive immune cells take longer to mobilize, they are capable of providing long-term, effective protection against specific antigens and, importantly, can recall antigens to which they have previously been exposed. As first responders, macrophages swallow the abnormal cells in a process called phagocytosis, digest them and recruit and activate the second line of defense, the adaptive immune system.</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Interfering with Suppression of Immune Signaling Pathways</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A critical capability of both the innate and adaptive immune systems is the ability to distinguish cells that are normally found in the body from foreign invaders. Components of both immune systems rely on the presence of certain surface proteins on cells that serve as markers for normal cells to prevent immune attacks. For the innate immune system, CD47 is expressed on cells throughout the body and functions as a “don’t eat me” signal to prevent attack by macrophages. Similarly, for the adaptive immune system, PD-L1 expression prevents attack by T cells.</w:t>
      </w:r>
    </w:p>
    <w:p>
      <w:pPr>
        <w:spacing w:after="0" w:line="17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Recent developments in the field of immuno-oncology have demonstrated that interfering in the PD-L1-based immune suppression system allows the adaptive immune system to attack cancer cells, resulting in significant reduction in tumor burden and increasing overall survival in some cancers. These therapies are generally referred to as checkpoint inhibitors and include both therapies that target PD-1 or PD-L1 such as nivolumab, pembrolizumab, atezolizumab, durvalumab and avelumab as well as therapies such as ipilimumab that target another checkpoint known as CTLA-4. These agents, all of which target the adaptive immune system, have resulted in remarkable efficacy in some patients and are the focus of over 1,300 active clinical trials.</w:t>
      </w:r>
    </w:p>
    <w:p>
      <w:pPr>
        <w:spacing w:after="0" w:line="193"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To date, there have been no therapies approved that target the CD47 checkpoint of the innate immune system. Preclinical data have demonstrated that binding by a CD47 antibody increases antigen presentation by macrophages and stimulates the development of anti-tumor cytotoxic T cell responses. We believe that by targeting CD47 and activating the macrophage and other components of the innate and adaptive immune system, we can create a new class of therapies with the potential to treat multiple types of solid and hematological tumors.</w:t>
      </w:r>
    </w:p>
    <w:p>
      <w:pPr>
        <w:spacing w:after="0" w:line="17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below table outlines our macrophage-focused approach targeting the innate immune system as compared to T cell checkpoint inhibitors targeting the adaptive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134620</wp:posOffset>
            </wp:positionV>
            <wp:extent cx="5205730" cy="15347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0573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Role of CD47 in the Treatment of Cancer</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There are two opposing mechanisms that macrophages rely on to determine whether to attack a cell: one set of markers found on some cells, including bound IgG and calreticulin, triggers an “eat me” signal; the other, centered around CD47, found on both healthy cells as well as many cancer cells, sends a “don’t eat me” signal. This “don’t eat me” signal is essential to prevent macrophages from attacking. Macrophages recognize CD47 through a receptor, SIRPa, that can specifically bind to CD47. Binding of SIRPa receptors on macrophages to CD47 on cancer cells prevents macrophages from attacking and digesting these cancer cells. Macrophages only remove cells whose balance of “eat me” signals outweigh the CD47 “don’t eat me” signals.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Nearly all types of tumors overexpress CD47 as a way to avoid the innate immune system. Sending this “don’t eat me” signal prevents the initial attack by macrophages and other phagocytic cells. Because these cancer cells are not digested, the macrophages cannot present components of the cancer cells to the adaptive immune system thereby preventing the activation of T cells that could specifically target them. Expression of CD47 by cancer cells can thus render these cells invisible to innate immune recognition. Interfering with CD47 binding to SIRPa has the potential to activate an immune response to cancer cells that is upstream of current checkpoint inhibitors that target PD-1/PD-L1 or CTLA-4. As shown in the following figure the overexpression of CD47 in many types of cancer has been demonstrated by a variety of scientific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139700</wp:posOffset>
            </wp:positionV>
            <wp:extent cx="5205730" cy="3181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05730"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Overexpression of CD47 is associated with poor prognosis in multiple cancers including AML, gastric cancer, lung cancer, NHL and ovarian cancer. In CRC patients with tumors containing high levels of macrophages and low levels of CD47 have increased long-term survival.</w:t>
      </w:r>
    </w:p>
    <w:p>
      <w:pPr>
        <w:spacing w:after="0" w:line="14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The progression from normal cell to cancer cell involves changes in genes and/or gene expression that can subvert normal cellular control mechanisms, and overexpression of CD47 represents an important checkpoint allowing the cancer cells to survive. In animal models, CD47-blocking antibodies have been shown to inhibit human cancer growth and metastasis by enabling the phagocytosis of cancer cells. CD47-blocking antibodies have been shown to exhibit potent synergy with tumor-specific monoclonal antibodies, such as rituximab, cetuximab and trastuzumab. Thus, we believe CD47 has a strong potential as a therapeutic target for the treatment of a variety of cancers.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Lead Product Candidate, 5F9</w:t>
      </w:r>
    </w:p>
    <w:p>
      <w:pPr>
        <w:spacing w:after="0" w:line="12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lead product candidate, 5F9, is a humanized IgG4 subclass monoclonal antibody against CD47 that is designed to interfere with recognition of CD47 by the SIRPa receptor on macrophages. By blocking this recognition, 5F9 removes a key self-recognition or “don’t eat me” signal, which allows the innate immune system to attack and dispose of cancer cells. We are currently investigating 5F9 in multiple Phase 1 and Phase 2 trials in various cancers including AML, CRC, NHL and ovarian cancer, as both a monotherapy and in combination with other therapies such as rituximab and cetuximab.</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figure shows the mechanism of action of 5F9.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168910</wp:posOffset>
            </wp:positionV>
            <wp:extent cx="5196840" cy="1689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9684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5F9 activation of macrophages to attack cancer cells can be further stimulated in combination therapies by supplying a therapeutic antibody that can specifically recognize tumor-specific antigens. By binding to cancer cells, these antibodies become an “eat me” signal to macrophages. There are many tumor-specific antibodies in current clinical practice in oncology, including rituximab, approved for various lymphomas and some types of leukemia, and cetuximab, approved in CRC and certain head and neck cancers. The following figure shows the mechanism of action of 5F9 in combination with a CD20 therapeutic antibody, such as rituximab.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96840" cy="15951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9684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Importantly, most normal cells lack an “eat me” signal and are therefore unaffected by the blocking of CD47.</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5F9 Clinical Trials</w:t>
      </w:r>
    </w:p>
    <w:p>
      <w:pPr>
        <w:spacing w:after="0" w:line="121"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color w:val="auto"/>
        </w:rPr>
        <w:t>5F9 monotherapy trials started in 2014 at a clinical trial center at Stanford University and in 2015 at a clinical trial center at Oxford University. The clinical trials with 5F9 and tumor targeting antibody combinations started in 2016 at multiple trial centers in the United States and United Kingdom. We currently have trials taking place in over 20 clinical centers in the US and the UK. We have treated over 190 relapsed or refractory cancer patients in the Phase 1 trials with 5F9 both as a monotherapy and in combination with therapeutic antibodies such as rituximab and cetuximab. The primary endpoint of these trials was to determine the MTD and dose limiting toxicities, or DLTs, in addition to objective anti-tumor responses. No MTD has been achieved in any trial despite maximum tested doses of 45 mg/kg weekly. The MTD for our trials was defined using the standard Phase 1 trial definition of being the highest dose level tested that generated a DLT rate of less than 33% in at least 6 evaluable patients. Secondary endpoints of these trials include evaluation of the serum concentrations of 5F9 and measures of clinical activity including how long patients responded to 5F9 and combination therapies, and their overall survival. Because these trials are ongoing, formal statistical analyses have not been conducted.</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85" w:lineRule="auto"/>
        <w:rPr>
          <w:sz w:val="20"/>
          <w:szCs w:val="20"/>
          <w:color w:val="auto"/>
        </w:rPr>
      </w:pPr>
      <w:r>
        <w:rPr>
          <w:rFonts w:ascii="Arial" w:cs="Arial" w:eastAsia="Arial" w:hAnsi="Arial"/>
          <w:sz w:val="16"/>
          <w:szCs w:val="16"/>
          <w:color w:val="auto"/>
        </w:rPr>
        <w:t>Our reported results use clinical assessment criteria that are in broad use as standard endpoints in solid tumor and lymphoma trials. In brief, patient tumor size is assessed by at approximately eight week intervals by CT or MRI scan while on treatment and the greatest reduction or smallest increase in tumor size are reported as the “best response” per the criteria below. Patients who withdrew from the trial after receiving drug are reported by their best assessment if they completed an assessment or as “progressive disease” if they did not. The specific response measurements are RECIST 1.1 for ovarian and CRC trials, and the Lugano classification for NHL trials. Per RECIST criteria, a “partial response” is a result in which the tumor shrinks at least 30% without the growth of new tumors and a “complete response” is the abolishment of tumor mass without new tumor growth. Per Lugano criteria, a “partial response” is a result in which the tumor shrinks at least 50% or in which the metabolic activity of the tumor has reduced activity compared to baseline, without the growth of new tumors. A “complete response” is a result with the abolishment of tumor mass or tumor metabolic activity without new tumor growth. Patients with “objective responses” are those with either a partial or a complete response. Per RECIST criteria, a patient with “stable disease” has a tumor size that is between a less than 30% reduction and less than 20% growth without growth of new tumors. Per Lugano criteria, “stable disease” is defined as less than a 50% reduction in tumor size and less than 50% growth or no increase in metabolic tumor activity, without growth of new tumors. In our AML trials, response assessment criteria were per ELN 2017 recommendations. Using these criteria, the best responses we observed were cases of “stable disease,” which are defined as patients who lack a partial or complete response yet did not exhibit disease progression. Progression in AML is defined by increases in blast (or cancer) cells and in partial and complete responses there is a substantial reduction in blast cells. In addition, we report “biological responses” that indicate notable biological changes in the bone marrow that were associated with 5F9 therapy but did not meet the definition of a partial or complete response.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5F9 in B-cell Non-Hodgkin’s Lymphoma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Combination Trial and Early Signs of Clinical Activity</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Our most advanced ongoing clinical trial is an open-label, multi-site Phase 1b/2 trial of 5F9 in combination with rituximab in patients with relapsed or refractory NHL. The rationale behind this combination trial is to release the CD47 inhibition of the innate immune system, thus eliminating the “don’t eat me” signal, and use rituximab to provide the “eat me” signal through its binding to CD20 on the surface of NHL cells. We began recruitment in November 2016 and, as of April 2018, we have evaluated 30 patients in the Phase 1b/2 trial and continue to enroll patients in the Phase 2 portion. We anticipate enrolling up to 72 patients in this trial. In the Phase 1b portion of this trial, patients received full doses of rituximab with cohorts evaluating escalating doses of 5F9. The Phase 2 portion of this trial has separate treatment arms for relapsed or refractory patients with non-aggressive, or indolent FL, and those with aggressive DLBCL.</w:t>
      </w:r>
    </w:p>
    <w:p>
      <w:pPr>
        <w:spacing w:after="0" w:line="189"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As of April 2018, we have obtained clinical response data from 30 patients in this Phase 1b/2 trial receiving 10 mg/kg, 20 mg/kg or 30 mg/kg 5F9. Progression of the disease was controlled in 17 patients (57%), and 14 patients (47%) displayed an objective response. Ten patients (33%) were reported to have a complete response and 4 patients (13%) were reported to have partial responses. Importantly, the rate of clinical response increased with the 5F9 dosage. Clinical activity was observed in both DLBCL and FL patients. This is notable because these patients all entered the trial after failing multiple lines of previously approved therapies, including rituximab. Particularly, multiple complete remissions have been observed in both DLBCL and FL patients, which are uncommon given the heavily pre-treated nature of these patients. For example, one DLBCL patient had failed four lines of prior therapy and entered the trial with extensive disease that was rapidly progressing. After treatment for eight weeks, this patient achieved a complete response, with no evidence of lymphoma lesions or bone marrow disease.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The figure below shows the preliminary results as of April 2018 from a Phase 1b/2 trial of 5F9 in combination with rituximab in relapsed or refractory NHL. Complete and partial response were evaluated by the Lugano criteria, which measures tumor size and metabolic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119380</wp:posOffset>
            </wp:positionV>
            <wp:extent cx="3344545" cy="4116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4454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A full 90% of responders had been considered rituximab refractory before dosing. Failure of prior therapies containing rituximab did not prevent patients from responding to the combination of 5F9 and rituximab in this trial. In addition, approximately 90% of the patients who had an initial response continue to respond, suggesting durability. The duration of response is the time between initial response and subsequent disease progression or relapse. A common measure of durability is the midpoint of all responding patients’ response durations (the median duration of response). When the median duration of response is reached, 50% of patients will have relapsed and 50% will still be in response. As of April 2018, the median duration of response had not been reached for either Phase 1b DLBCL or FL patients and the median time on treatment was over six months and eight months for DLBCL and FL patients, respectively. We have observed some patients with extended responses or improving responses. For example, 1 patient continued in complete remission for over 14 months on treatment. Furthermore, 2 DLBCL patients converted to complete responses in follow-up assessments after an initial assessment of stable disease and partial response, respectively. While these results represent early data from a limited number of patients, the clinical activity reported is comparable to the durable response rates (responses of greater than eight months duration) seen with other approved therapies such as the CAR-T product YESCARTA (axicabtagene ciloleucel) in DLBCL and the kinase inhibitor ALIQOPA (copanlisib), in FL. Furthermore, 5F9 has been well tolerated to date with no MTD observed, is easy to administer and in the majority of responding patients begins to show clinical activity at the first assessment made at eight weeks. The</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most common treatment-associated effects observed to date were the expected CD47-mechanism-based effects on red blood cells, which led to a temporary and reversible anemia. Other reported treatment-related adverse events include infusion reactions, headache, fatigue, chills, fever and nausea. The majority of these adverse events were mild to moderate in severity and were generally easily managed. See “Safety Profile of 5F9.” These attributes may make 5F9 suitable for a broad range of patients. Based on our application summarizing the early NHL trial data, the FDA granted Fast Track designations to 5F9 for the treatment of both relapsed and/or refractory DLBCL and relapsed and/or refractory FL in April 2018.</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 Opportunity</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believe there is a broad market opportunity for 5F9 in the treatment of NHL. B-cell NHL is a diverse group of cancers derived from B cells. The American Cancer Society estimates that 74,680 people will be diagnosed with NHL in the United States in 2018. The natural progression of NHL varies widely across multiple forms, including aggressive forms such as DLBCL and more slowly growing or indolent forms such as FL, which according to a publication in Frontiers in Oncology in 2013, account for 31% and 22% of all NHL cases, respectively. Without treatment, survival of aggressive NHL, such as DLBCL, is only a few months in duration.</w:t>
      </w:r>
    </w:p>
    <w:p>
      <w:pPr>
        <w:spacing w:after="0" w:line="188"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As with other B cell lymphomas, FL and DLBCL cells express CD20 on the cell surface. Monoclonal antibodies targeting CD20 are a key component of current therapy for B cell lymphomas. Rituximab was the first anti-CD20 monoclonal antibody developed and approved for the treatment of B cell NHL. The addition of rituximab to combination chemotherapy could result in an approximately 10-15% overall increase in survival at one year in patients of all ages. Unfortunately not all patients respond to rituximab and of those that initially responded after treatment with rituximab as a monotherapy, but subsequently relapsed, a study has shown that approximately 60% are resistant to rituximab.</w:t>
      </w:r>
    </w:p>
    <w:p>
      <w:pPr>
        <w:spacing w:after="0" w:line="17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In 2017, a new approach to treating DLBCL known as CAR-T cell therapy was approved. This therapy requires removing blood stem cells from patients, genetically modifying them in the lab to attack DLBCL cells and transplanting them back into the patient, a process which can take several weeks. Although this approach has had some success, there remain significant safety limitations. This therapy is not available to patients who have highly proliferative disease, who cannot wait for treatment, or who cannot tolerate the transplantation procedure. We believe that 5F9 will not have these limitations.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5F9 in Ovarian Cancer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Monotherapy Trial and Early Signs of Clinical Activity</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The first in human trial of 5F9 as a monotherapy was a multi-arm trial designed to test the safety and tolerability and to determine dosing in patients with advanced solid tumors. The trial began in August 2014, and since then we have observed confirmed partial responses in 2 out of 21 evaluable patients in a cohort with ovarian cancer receiving either 20 mg/kg or higher doses of 5F9, as of April 2018. Both were heavily pre-treated patients failing seven or more previous treatment regimens. One of these patients had a durable partial response of more than six months in duration. We continue to investigate the potential of 5F9 in an expanded cohort of more than 15 patients with ovarian cancer from which we anticipate having data by the first half of 2019.</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figure shows responses in a Phase 1 trial of 5F9 as a monotherapy in ovarian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168910</wp:posOffset>
            </wp:positionV>
            <wp:extent cx="3241675" cy="4742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41675" cy="474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 xml:space="preserve">In January 2018, we announced a clinical trial collaboration with Merck KGaA to test 5F9 in combination with the T cell checkpoint inhibitor avelumab in ovarian cancer patients. The rationale for the collaboration is based on these data and additional preclinical work showing that avelumab enhances cancer cell phagocytosis </w:t>
      </w:r>
      <w:r>
        <w:rPr>
          <w:rFonts w:ascii="Arial" w:cs="Arial" w:eastAsia="Arial" w:hAnsi="Arial"/>
          <w:sz w:val="18"/>
          <w:szCs w:val="18"/>
          <w:i w:val="1"/>
          <w:iCs w:val="1"/>
          <w:color w:val="auto"/>
        </w:rPr>
        <w:t>in vitro</w:t>
      </w:r>
      <w:r>
        <w:rPr>
          <w:rFonts w:ascii="Arial" w:cs="Arial" w:eastAsia="Arial" w:hAnsi="Arial"/>
          <w:sz w:val="18"/>
          <w:szCs w:val="18"/>
          <w:color w:val="auto"/>
        </w:rPr>
        <w:t>. We believe this enhancement is due to avelumab binding PD-L1 on the cancer cells and stimulating phagocytosis via binding of the IgG1 isotype antibody to macrophage receptors.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 Opportunity</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Centers for Disease Control and Prevention, or CDC, estimates that ovarian cancer is the fifth leading cause of cancer death in women in the United States with over 20,000 women in the United States diagnosed with ovarian cancer and approximately 14,000 die from this disease each year. The International Agency for Research on Cancer estimates that, worldwide, there were approximately 225,000 cases of ovarian cancer leading to 140,000 deaths yearly.</w:t>
      </w:r>
    </w:p>
    <w:p>
      <w:pPr>
        <w:spacing w:after="0" w:line="18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Surgery and cytotoxic chemotherapies are widely used to treat ovarian cancer; however, the outcomes have changed little over the last several decades. According to the National Cancer Institute, the relative five-year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survival rate has improved only marginally from 43.8%, observed from 2001 to 2007, to 46.5%, observed from 2007 to 2013. Treatment of patients with advanced, relapsed ovarian cancer with a combination of gemcitabine and carboplatin increased the progression free survival to 8.6 months from 5.8 months with carboplatin alone but has had no significant effect on overall survival. Recently a number of products that target poly ADP ribose polymerase, or PARP, a specific component of a DNA repair pathway, have been approved for use in ovarian cancers. These products include olaparib, rucaparib and niraparib. Research published in Molecular Oncology has demonstrated that the efficacy of these products is greatly enhanced in the subset of 5-15% of ovarian cancers with mutations in the BRCA1 and BRCA2 genes. Given the historical lack of improvement in survival rates and limitations of PARP therapies for the majority of cancer patients, we believe 5F9 has the potential to deliver an effective new class of therapy to address this unmet medical need.</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5F9 in Colorectal Cancer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Combination Trial and Early Signs of Clinical Activity</w:t>
      </w:r>
    </w:p>
    <w:p>
      <w:pPr>
        <w:spacing w:after="0" w:line="117"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We are investigating the combination of 5F9 and cetuximab in an open-label Phase 1b/2 trial in patients with advanced relapsed or refractory solid tumors, including CRC. The trial began in December 2016, and as of April 2018, we have enrolled 37 patients at multiple sites in the United States. The first arm of this trial is a dose escalation stage with doses of cetuximab increasing up to the standard approved dose level combined with increasing doses of 5F9. Data from the 10 mg/kg, 20 mg/kg and 30 mg/kg cohorts of the Phase 1b portion of the trial is available for 22 patients with CRC. Of these 22 patients, 2 (9%) had a partial response and 9 (41%) had stable disease as their best response. Importantly, at time of data cutoff in April 2018, the initial responding patient had maintained a durable response over eight months that was ongoing. This trial is ongoing and we expect data from patients in the Phase 2 arm of this trial to become available in the first half of 2019. The following figure shows the responses in patients from this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132080</wp:posOffset>
            </wp:positionV>
            <wp:extent cx="2195195" cy="23755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9519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214630</wp:posOffset>
            </wp:positionV>
            <wp:extent cx="3387725" cy="21697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8772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 Opportunity</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According to CDC estimates, CRC is the second leading cause of cancer deaths in the United States. The National Cancer Institute estimates that there were 135,430 new cases of CRC and 50,260 CRC related deaths in the United States in 2017. Almost 35% of the patients with a new diagnosis of CRC will die within five years. The risk of CRC increases with age, with 90% of cases diagnosed in individuals 50 years of age or older. Despite effective screening, leading to a reduction in the mortality from CRC, the number of cases remains high and is expected to increase worldwide to 2.2 million by the year 2030.</w:t>
      </w:r>
    </w:p>
    <w:p>
      <w:pPr>
        <w:spacing w:after="0" w:line="188"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Treatment of CRC typically involves the use of cytotoxic chemotherapy and radiation. Treatment with anti-epidermal growth factor receptor or EGFR antibodies as a monotherapy or in combination with chemotherapy has been shown to be effective in a subset of CRC patients, however according to a publication in Current Oncology in 2010, over 40% of patients do not respond to anti-EGFR antibody therapies and of those that do, resistance often develops. Specifically, cetuximab is ineffective in patients who have a mutation in the RAS gene, which represents approximately 40% of all patients. In addition, after initial treatments, the currently approved therapies for advanced CRC patients, such as regorafenib and triflouradine/tipracil (TAS-102), have significant toxicities, negligible response rates (less than 2%) and only a minimal survival benefit, increasing median survival by 1.4 to 1.8 months. We believe that there is an unmet medical need for a treatment option that improves outcomes for patients with CRC.</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5F9 in Acute Myeloid Leukemia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Monotherapy Trial with Signs of Biologic Activity</w:t>
      </w:r>
    </w:p>
    <w:p>
      <w:pPr>
        <w:spacing w:after="0" w:line="117"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We are conducting a Phase 1 monotherapy trial in patients with relapsed or refractory AML in collaboration with the University of Oxford at multiple sites in the United Kingdom. Leukemic cells, called blasts or blast precursors, are the main driver and indicator of disease burden in AML. The trial began in November 2015, and reductions in the number of blast cells in patient bone marrow samples have been observed in 7 of the 18 patients (39%) in cohorts receiving 10 mg/kg or higher doses of 5F9, as of April 2018. One of these patients had prolonged stable disease for 11.8 months on study before progressing, which is more than double the average life expectancy for this refractory patient population. This patient had a significant increase in T cells in the bone marrow during treatment, suggesting that 5F9 may have activated the adaptive immune system. Based in part on these data and similar observations in preclinical models, in January 2018, we announced a clinical collaboration with Genentech to initiate a clinical trial exploring a combination of 5F9 with atezolizumab in patients with AML. Based on additional preclinical data supporting treatment using 5F9 in combination with azacitidine, in February 2018, we also initiated an azacitidine co-treatment arm to our AML monotherapy trials. Data from these follow-on trials are expected in 2019. We have received orphan drug designation from both the FDA and the EMA for AML.</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 Opportunity</w:t>
      </w:r>
    </w:p>
    <w:p>
      <w:pPr>
        <w:spacing w:after="0" w:line="117"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AML is a hematologic cancer characterized by excessive proliferation of myeloid stem cells and their failure to properly differentiate into mature blood cells. AML is the second most common subtype of leukemia in adults. The American Cancer Society estimates an incidence of approximately 19,500 new cases in the United States in 2018. AML is generally a disease of elderly people, with more than 60% of diagnosed patients being older than 60 years. According to Cancer Research UK, the average five-year survival rate for patients with AML is 20%, but there are significant differences in prognosis depending on several factors, including the age of the patient and the presence of co-morbidities at the time of diagnosis. For patients under the age of 45, the five-year survival rate is approximately 57%, while for those over the age of 65 it is only 6%. There are likely multiple reasons for this difference, including the ability of younger patients to tolerate more aggressive therapy.</w:t>
      </w:r>
    </w:p>
    <w:p>
      <w:pPr>
        <w:spacing w:after="0" w:line="178"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Current first-line treatments in AML typically involve aggressive chemotherapy, including alkylating agents and cytarabine potentially followed by stem cell transplantation, for younger patients with the aim to induce and then maintain long-term remission. This therapy is not recommended for older patients or patients with comorbidities, who are often not treated at all or are treated with low dose cytarabine or azacitidine. There is a single biologic, MYLOTARG (gemtuzumab ozogamicin), approved by the FDA for AML. Mean survival in AML patients over 75 years of age treated with gemtuzumab ozogamacin as a monotherapy was 4.9 months versus 3.6 months for those treated with the best supportive care. Significant myeloid and liver toxicities have also complicated the use of gemtuzumab ozogamacin in patients. Other more recently approved therapeutics for AML target subsets of patients with tumors containing specific mutations such as RYDAPT (midostaurin) by Novartis for those with FLT3 mutations and IDHIFA (enasidenib) by Celgene for those with mutations in IDH2. Despite these advancements, we believe there is a significant need for a safe, broadly effective AML treatment. CD47 is expressed to a higher degree in AML cells, including leukemia stem cells, than in normal blood cells, making AML an attractive potential indication for 5F9.</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 Progress and Planned Trials: Combinations with Checkpoint Inhibitors</w:t>
      </w:r>
    </w:p>
    <w:p>
      <w:pPr>
        <w:spacing w:after="0" w:line="117"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We believe there is a strong rationale to combine 5F9 with T cell checkpoint inhibitors. 5F9 induces a potent anti-cancer T cell response by enabling macrophages to ingest cancer cells and present antigens derived from these cancer cells to T cells. Thus, the combination of a T cell checkpoint inhibitor with 5F9 is likely to further enhance an anti-cancer T cell response and to further mobilize both the innate and adaptive immune systems to eliminate cancer. In this context, we partner with Merck KGaA to test the safety and clinical activity of 5F9 in combination with avelumab, an antibody targeting PD-L1 in patients with ovarian cancer. The combination of 5F9 and avelumab was selected based on the unique dual ability for avelumab to enhance both a T cell response as a checkpoint inhibitor and serve as a tumor-targeted antibody. Since PD-L1 is expressed on cancer cells, antibodies that target PD-L1 could serve as a tumor-targeting antibody, similar to rituximab and cetuximab in NHL and CRC, respectively. However, an active Fc receptor capable of inducing antibody-dependent cellular phagocytosis is required. Avelumab is the only FDA approved T cell checkpoint inhibitor targeting PD-L1 that has an active IgG1 Fc receptor. Thus, the combination of 5F9 and avelumab may be a key competitive differentiator for combination strategies of CD47 blocking agents and checkpoint inhibitors. Indeed, our preclinical studies demonstrate that the addition of avelumab to 5F9 significantly enhances macrophage phagocytosis of cancer cells. The combination of 5F9 and avelumab is being explored in ovarian cancer patients based on preclinical data as well as initial clinical data demonstrating monotherapy activity for both 5F9 and avelumab in this indication.</w:t>
      </w:r>
    </w:p>
    <w:p>
      <w:pPr>
        <w:spacing w:after="0" w:line="169"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and our partner Genentech are planning to test the safety and clinical activity of 5F9 in combination with atezolizumab, a monoclonal antibody targeting PD-L1, an adaptive immunity checkpoint, in bladder cancer. We believe that this trial will help us test a key hypothesis by determining whether 5F9 can further enhance the anti-tumor activity of checkpoint inhibitors that already have activity as a monotherapy. In addition, 5F9 will be combined with atezolizumab in AML patients. Our rationale for this combination is the observed increase in T cells in the bone marrow of an AML patient during 5F9 monotherapy treatment. We believe the presence of</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increased T cells may indicate an activation of the adaptive immune system which is the target of T cell checkpoint inhibitors. Atezolizumab has received regulatory approval for the treatment of advanced urothelial carcinoma and non-small cell lung cancer.</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Safety Profile of 5F9</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 each of our clinical studies, 5F9 has demonstrated signs of early clinical activity while being generally well-tolerated. The design of 5F9, combined with our proprietary dosing regimen, overcomes the toxicity limitations of previously tested anti-CD47 therapies. Across all study populations, 5F9 has been well tolerated with no MTD observed in any study despite dosing up to 45 mg/kg. The most common treatment-associated effects observed to date were the expected CD47-mechanism-based effects on red blood cells which led to a temporary and reversible anemia. Other reported treatment-related adverse events include infusion reactions, headache, fatigue, chills, fever and nausea. The majority of these adverse events were mild to moderate in severity and were generally easily managed.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Minimizing the Effects on Red Blood Cells</w:t>
      </w:r>
    </w:p>
    <w:p>
      <w:pPr>
        <w:spacing w:after="0" w:line="117"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Red blood cells, like other cells in the body, express CD47 as a “don’t eat me” signal to prevent phagocytosis by macrophages. As red blood cells age, the levels of CD47 gradually decrease and the levels of “eat me” signals such as phosphatidylserine or IgG increase such that at some point aged red blood cells are engulfed by macrophages and removed from circulation. The levels of red blood cells in the body, however, are tightly regulated and the removal of aged or damaged red blood cells stimulates the production of new red blood cells. The administration of CD47 antibodies, such as 5F9, would be expected to block the “don’t eat me” signal on red blood cells resulting in premature loss of those aged red blood cells that bear sufficiently high levels of “eat me” signals. Indeed, this predicted loss of red blood cells and the associated anemia has been observed in preclinical studies and clinical trials of 5F9 but it is generally temporary and reversible in nature. The loss of red blood cells is compensated for by reticulocytosis, which is the synthesis of new red blood cells that leads to the gradual resolution of the anemia. Eventually the red blood cell level stabilizes as the average age of red blood cells shifts toward younger cells.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To address this expected anemia, we designed a proprietary dosing regimen into our clinical trials in which clinicians administer a priming dose of 1 mg/kg of 5F9 that is sufficient to eliminate the aged red blood cells and trigger the process of reticulocytosis. A mild anemia with the first priming dose is therefore expected. This priming dose then enables administration of much higher and more efficacious maintenance doses of 30 mg/kg in subsequent weeks that do not induce further clearance of red blood cells. We believe our approach of administering a priming dose followed by maintenance doses is an important element in mitigating the known on-target effect of anemia that results from therapeutic blocking of CD47. The figure below illustrates this sequence.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-5080</wp:posOffset>
            </wp:positionV>
            <wp:extent cx="4939665" cy="37560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39665"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initial first-in-human Phase 1 clinical trial of 5F9 was initiated by researchers at Stanford University in 24 patients with relapsed or refractory solid tumors. Eleven patients were treated in Part A of the trial, which was designed as a dose escalation trial with the goal of establishing a priming dose of 5F9 that would be tolerable while also still fully saturating CD47 on red blood cells. After a single dose of 1 mg/kg of 5F9, approximately 90% of CD47 molecules on red blood cells were blocked, whereas at doses of 0.1 mg/kg and 0.3 mg/kg approximately 50% of CD47 molecules were blocked. The 1 mg/kg dose was well tolerated with no drug-limiting toxicities.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Part B of the trial investigated the safety and tolerability of weekly maintenance dosing of 5F9 in 14 patients treated at 1, 10, 20, 30 and 45 mg/kg, each following a single priming dose of 1 mg/kg. The study showed that this dosing regimen results in an early, temporary decline in hemoglobin levels corresponding to mild to moderate anemia during the first two weeks of starting therapy. In many patients, hemoglobin levels return to baseline by week four or later, even with continued treatment with 5F9 at significantly higher doses. The figure below illustrates the physiological response associated with the priming dose in a solid tumor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146050</wp:posOffset>
            </wp:positionV>
            <wp:extent cx="3713480" cy="31388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1348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An additional common treatment-associated effect related to red blood cells is hemagglutination, or the clumping of red blood cells, which we believe is driven by the direct interaction of 5F9 with CD47 on red blood cells. We observe hemagglutination by microscopic examination of a blood sample typically in conjunction with the initial priming or maintenance doses. In the over 190 patients treated with 5F9 across indications, hemagglutination has not been correlated with significant adverse events or other clinical symptoms.</w:t>
      </w:r>
    </w:p>
    <w:p>
      <w:pPr>
        <w:spacing w:after="0" w:line="18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In order to evaluate the clinical risk of hemagglutination and to monitor for any effects this might have on the microvasculature, our Phase 1 monotherapy trial of 5F9 in solid tumor patients included baseline and weekly high resolution retinal imaging studies during the trial. The 163 scans obtained in solid tumor patients did not reveal any treatment related pathology, outside of a solitary, asymptomatic transient abnormal finding on the retina known as a cotton wool spot in a single patient who did not exhibit hemagglutination. We removed the requirement for retinal imaging due to the lack of significant retinal findings in a protocol amendment, which was accepted by the FDA without any related issues being raised.</w:t>
      </w:r>
    </w:p>
    <w:p>
      <w:pPr>
        <w:spacing w:after="0" w:line="158"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Patients with AML do not have the bone marrow capacity to stimulate reticulocytosis due to their disease and thus have to rely on blood transfusions to replace aged red blood cells that are eliminated by 5F9 treatment. Hemagglutination continues to be observed in these patients beyond the first or second dose of 5F9 as the transfused blood contains a substantial population of untreated red blood cells. These transfusions have been well tolerated. Similar to solid tumor patients, to date, no clinical consequences have been correlated with hemagglutination.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Safety Observations</w:t>
      </w:r>
    </w:p>
    <w:p>
      <w:pPr>
        <w:spacing w:after="0" w:line="117"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5F9 has been dosed in over 190 patients with both solid and hematological tumors as of May 2018. Across all study populations, 5F9 has been well tolerated with no MTD observed in any study including in doses of up to 45 mg/kg. The most common treatment-associated effects observed were CD47-mechanism-based effects on red blood cells such as anemia. Other reported treatment-related adverse events include infusion reactions, headache, fatigue, chills, fever and nausea. Common drug-related abnormal laboratory observations have included transient hyperbilirubinemia, transient reticulocytosis and spherocytosis, all of which are consistent with the on-target effect of aged red blood cell clearance by 5F9. Lymphopenia was also observed but not associated with any clinical consequences including infections. These findings were more frequent following the first or second infusion, with substantially fewer drug-related events reported beyond the first 28-day treatment cycle. Infusion-associated reactions including fevers, chills, headache, chest/abdominal/back pain and infusion/hypersensitivity reactions are observed in patients with solid tumors and lymphoma during the initial two doses with 5F9 and generally not with subsequent doses. No consistent adverse events were observed at high or extended exposure and there were no consistent overlapping toxicities with other antitumor antibodies. In addition, no significant immune-mediated toxicities found in other T cell checkpoint inhibitors have been observed. Patients have been treated over six months without increases in safety signals.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Summaries of reported adverse events from the solid tumor and NHL combination trials are presented in the figures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169545</wp:posOffset>
            </wp:positionV>
            <wp:extent cx="4022090" cy="30956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22090"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213995</wp:posOffset>
            </wp:positionV>
            <wp:extent cx="3833495" cy="24009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3349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further analyzed the consistency of the 5F9 safety profile over doses ranging from 20 to 45 mg/kg in solid tumor patients with the results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134620</wp:posOffset>
            </wp:positionV>
            <wp:extent cx="5188585" cy="2426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8858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Pharmacokinetics of 5F9</w:t>
      </w:r>
    </w:p>
    <w:p>
      <w:pPr>
        <w:spacing w:after="0" w:line="117"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As part of the Phase 1 solid tumor trial design we measured the concentration of 5F9 in the serum of treated patients at various doses. At doses of 10 mg/kg and above the half-life of 5F9 is approximately two weeks. When dosed weekly at 10 mg/kg and higher the serum concentrations of 5F9 exceeded concentrations associated with activity in preclinical models. Our initial signs of clinical activity in patients with AML, CRC, NHL or ovarian cancers were all observed at doses of 10 mg/kg weekly or higher suggesting our preclinical model results are consistent with our clinical observations. Anti-drug antibodies were detected in 2 of 58 evaluable patients in the solid tumor trial; however, the presence of such antibodies were not associated with changes in 5F9 pharmacokinetics or clinical consequences. The anti-drug antibody rate for 5F9 (3%) is similar to other humanized antibodies.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role of CD47 as a key component of self-recognition in the innate immune system and its potential role as an immuno-oncology target has been well-published by our founders at Stanford University. These findings have been validated by independent publications from multiple academic groups. Some key findings of this preclinical research:</w:t>
      </w:r>
    </w:p>
    <w:p>
      <w:pPr>
        <w:spacing w:after="0" w:line="87" w:lineRule="exact"/>
        <w:rPr>
          <w:sz w:val="20"/>
          <w:szCs w:val="20"/>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CD47 is overexpressed in a majority of tumor types;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Expression levels of CD47 are correlated with evasion of phagocytosis by macrophages;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 expression of CD47 is associated with poor prognosis in patients with hematologic cancer and solid tumors;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Antibodies against CD47 promote antitumor activity in over 25 types of tumors including AML, CRC, NHL, ovarian cancer and others;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therapeutic cancer treatment azacitidine can synergize with 5F9 in animal models of AML;</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 of therapeutic cancer antibodies can synergize with CD47 antibodies in animal models including rituximab, cetuximab, trastuzumab and others; and</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CD47 antibody-mediated phagocytosis of cancer cells enables macrophages to present tumor antigens to recruit and activate anti-tumor T cells and therefore can synergize with T cell checkpoint therapies.</w:t>
      </w:r>
    </w:p>
    <w:p>
      <w:pPr>
        <w:spacing w:after="0" w:line="170"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An example of the anti-tumor potential of combining inhibition of the CD47 “don’t eat me” signal by 5F9 and the “eat me” signal from rituximab was observed in a mouse models of NHL. In these models, a highly aggressive human NHL cell line is used to introduce tumors into mice. When given as a monotherapy, 5F9 or rituximab monotherapy was only able to keep the tumor from growing larger. However, when 5F9 and rituximab were dosed together, significant shrinkage of tumors was observed within two to five weeks,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135255</wp:posOffset>
            </wp:positionV>
            <wp:extent cx="3747770" cy="2701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4777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This reduction in tumor burden was associated with a significant improvement in overall survival with the majority of the mice exhibiting the disappearance or near-disappearance of their tumors, as shown in the figure below. This preclinical data and similar preclinical data in other animal models serve as the basis for our ongoing and future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141605</wp:posOffset>
            </wp:positionV>
            <wp:extent cx="4622165" cy="2246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622165"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Importance of 5F9 in a Multipronged Approach to Treating Cancer</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5F9 has the potential to be an important therapeutic contributing to a multipronged approach to oncology treatment. While the field of immuno-oncology is a growing area of scientific focus, macrophage activation is missing from the current repertoire of biological oncology agents. Agents that target the CD47-SIRPa interaction can address this missing component.</w:t>
      </w:r>
    </w:p>
    <w:p>
      <w:pPr>
        <w:spacing w:after="0" w:line="87" w:lineRule="exact"/>
        <w:rPr>
          <w:sz w:val="20"/>
          <w:szCs w:val="20"/>
          <w:color w:val="auto"/>
        </w:rPr>
      </w:pPr>
    </w:p>
    <w:p>
      <w:pPr>
        <w:jc w:val="both"/>
        <w:ind w:left="1060" w:hanging="424"/>
        <w:spacing w:after="0" w:line="25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Anti-CD47</w:t>
      </w:r>
      <w:r>
        <w:rPr>
          <w:rFonts w:ascii="Arial" w:cs="Arial" w:eastAsia="Arial" w:hAnsi="Arial"/>
          <w:sz w:val="18"/>
          <w:szCs w:val="18"/>
          <w:color w:val="auto"/>
        </w:rPr>
        <w:t>. Direct blockage of the CD47-SIRPa interaction enables macrophages to recognize cancer cells via endogenous “eat me” signals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calreticulin as well as by antibodies to surface expressed antigens. Antibodies that are present endogenously or are provided therapeutically bind to surface antigens on cancer cells leading to their capturing and engulfing by macrophages in a process called antibody dependent cellular phagocytosis or ADCP. To date, no therapies have been approved that release macrophages from CD47-dependent inhibition.</w:t>
      </w:r>
    </w:p>
    <w:p>
      <w:pPr>
        <w:spacing w:after="0" w:line="93" w:lineRule="exact"/>
        <w:rPr>
          <w:rFonts w:ascii="Arial" w:cs="Arial" w:eastAsia="Arial" w:hAnsi="Arial"/>
          <w:sz w:val="18"/>
          <w:szCs w:val="18"/>
          <w:color w:val="auto"/>
        </w:rPr>
      </w:pPr>
    </w:p>
    <w:p>
      <w:pPr>
        <w:jc w:val="both"/>
        <w:ind w:left="1060" w:hanging="424"/>
        <w:spacing w:after="0" w:line="273"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Anti-Cancer Antibodies</w:t>
      </w:r>
      <w:r>
        <w:rPr>
          <w:rFonts w:ascii="Arial" w:cs="Arial" w:eastAsia="Arial" w:hAnsi="Arial"/>
          <w:sz w:val="17"/>
          <w:szCs w:val="17"/>
          <w:color w:val="auto"/>
        </w:rPr>
        <w:t>. Antibodies, such as rituximab, that recognize cancer cells trigger activation of natural killer or NK cells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 in antibody dependent cellular cytotoxicity or ADCC. Over twenty antibody products have been approved as therapeutics in oncology. These include antibodies that target antigens such as CD20 (rituximab, obinutuzumab, ofatumumab), epidermal growth factor receptor or EGFR (cetuximab, panitumumab), human epidermal growth factor receptor 2 (HER2) (trastuzumab, pertuzumab), among others. These therapeutics represent a mainstay of cancer therapy, but have limited efficacy as monotherapies. Binding of these antibodies to cancer cells can also provide strong “eat me” signal triggering attack by macrophages.</w:t>
      </w:r>
    </w:p>
    <w:p>
      <w:pPr>
        <w:spacing w:after="0" w:line="83" w:lineRule="exact"/>
        <w:rPr>
          <w:rFonts w:ascii="Arial" w:cs="Arial" w:eastAsia="Arial" w:hAnsi="Arial"/>
          <w:sz w:val="17"/>
          <w:szCs w:val="17"/>
          <w:color w:val="auto"/>
        </w:rPr>
      </w:pPr>
    </w:p>
    <w:p>
      <w:pPr>
        <w:jc w:val="both"/>
        <w:ind w:left="1060" w:hanging="424"/>
        <w:spacing w:after="0" w:line="293" w:lineRule="auto"/>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Checkpoint Inhibitors</w:t>
      </w:r>
      <w:r>
        <w:rPr>
          <w:rFonts w:ascii="Arial" w:cs="Arial" w:eastAsia="Arial" w:hAnsi="Arial"/>
          <w:sz w:val="16"/>
          <w:szCs w:val="16"/>
          <w:color w:val="auto"/>
        </w:rPr>
        <w:t>. Cytotoxic T cells are components of the adaptive immune system that are specialized for specific antigens on cancer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cells. These may include naturally derived T cells that target tumor-specific antigens including neoantigens or antigens that arise from mutations within tumors. T cell agents also include a new class of cellular therapeutics such as CAR-T cells that are generated by genetic engineering, such as KYMRIAH (tisagenlecleucel) and YESCARTA (axicabtagene ciloleucel). A series of pharmacological agents known as checkpoint inhibitors have been approved as cancer therapeutics that function by relieving the active suppression of cytotoxic T cell activity. These agents include antibodies against PD-1, such as nivolumab and pembrolizumab, and PD-L1, such as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atezolizumab and avelumab, as well as CTLA-4, such as ipilimumab. Similar to other biologics in oncology, these agents have limited efficacy when used as a monotherapy, and are currently the subject of over 1,300 clinical trials investigating their efficacy when used in combination. Phagocytosis of cancer cells by macrophages results in processing and presentation of tumor antigens to T cells, potentially increasing their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144780</wp:posOffset>
            </wp:positionV>
            <wp:extent cx="5213985" cy="23495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398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Benefit of Macrophage Activation in Viral Infections</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Macrophages are the first line of defense against pathogens and the expression of CD47 on patient cells may prevent recognition of some viral infections such as Human Immunodeficiency Virus, or HIV. We are in discussions to provide 5F9 to University of California, San Francisco, or UCSF, for their work with Gilead, a leader in the development and commercialization of HIV therapies, in the investigation of the potential of 5F9 to help eradicate reservoirs of cells that contain residual HIV infections. Researchers at UCSF, together with Gilead, will test the potential of 5F9 as a monotherapy and in combination with a TLR7 agonist, a compound designed to stimulate macrophage recognition of viral RNA, in non-human primates and other animal models. We have worldwide rights to 5F9 in all indications.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Preclinical Programs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are working to develop additional products aimed at enhancing anti-cancer phagocytosis. This includes, but is not limited to the addition or enhancement of pro-phagocytic signals and further inhibition of anti-phagocytic signals. This development pipeline is balanced with preclinical agents at various stages of development, including a mix of both clinically validated and novel targets.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Potential Ways to Interfere with CD47-SIRP</w:t>
      </w:r>
      <w:r>
        <w:rPr>
          <w:rFonts w:ascii="Arial" w:cs="Arial" w:eastAsia="Arial" w:hAnsi="Arial"/>
          <w:sz w:val="18"/>
          <w:szCs w:val="18"/>
          <w:color w:val="auto"/>
        </w:rPr>
        <w:t>a</w:t>
      </w:r>
      <w:r>
        <w:rPr>
          <w:rFonts w:ascii="Arial" w:cs="Arial" w:eastAsia="Arial" w:hAnsi="Arial"/>
          <w:sz w:val="18"/>
          <w:szCs w:val="18"/>
          <w:b w:val="1"/>
          <w:bCs w:val="1"/>
          <w:i w:val="1"/>
          <w:iCs w:val="1"/>
          <w:color w:val="auto"/>
        </w:rPr>
        <w:t xml:space="preserve"> Interaction</w:t>
      </w:r>
    </w:p>
    <w:p>
      <w:pPr>
        <w:spacing w:after="0" w:line="117"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There are multiple types of pharmaceutical interventions that have been used to inhibit receptor-target interactions such as CD47-SIRPa. These have included antibodies that block the interaction by binding to either of the partners; small molecules and peptides that prevent the target from binding to the receptor or block downstream signaling events; and soluble decoy molecules that bind to one of the partners thereby preventing the other partner from binding productively. In addition to the 5F9, which is an antibody that binds to CD47 blocking its binding to SIRPa, we have also explored the potential of interfering with CD47 activity through other modalities. Our next product candidate, FSI-189, is an antibody that binds to SIRPa. We plan to initiate Phase 1 solid tumor trials for FSI-189 in 2020. In June 2018, we entered into an asset purchase agreement with BliNK,</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pursuant to which we acquired all of BliNK’s assets relating to its research and development program for antibodies directed against CD47, including an anti-CD47 monoclonal antibody. We are assessing the compound’s utility as an anti-CD47 antibody for non-oncology indications.</w:t>
      </w:r>
    </w:p>
    <w:p>
      <w:pPr>
        <w:spacing w:after="0" w:line="147"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Each of the different modalities has advantages and disadvantages and we believe that the central role of the CD47-SIRPa in regulating self-recognition in the innate immune system provides opportunities for multiple products to have therapeutic benefit in specific indications. Some SIRPa decoy molecules have a lower affinity for CD47 and thereby reduce the risk of red blood cell attack and subsequent anemia. However, these product candidates exhibited dose limiting toxicities at less than 1 mg/kg due to their toxicities on platelets. Antibodies that target SIRPa would be expected to be effective without targeting red blood cells, but, depending on their specific properties, these antibodies may not have any monotherapy activity. Specific variants of all of these modalities, such as whether antibodies are of the IgG1 subtype versus the IgG4 subclass, are expected to have different profiles based on interactions with other components of the immune system.</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CKIT Discovery Program</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 xml:space="preserve">CKIT is expressed on numerous cancers including leukemia, melanoma and gastrointestinal stroma tumors, or GIST, and on hematopoietic (blood) stem cells, or HSC. Anti-CKIT antibodies binding to these cells can provide an additional “eat me” signal to macrophages and have been shown to exhibit anti-cancer efficacy in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GIST mouse models. In addition, preclinical mouse studies have shown that anti-CKIT antibodies, in conjunction with anti-CD47 antibodies, can deplete endogenous HSCs to facilitate transplantation of donor HSCs, which may serve as a less toxic bone marrow transplant conditioning regimen than therapies such as chemotherapy or radiation. We are developing anti-CKIT antibodies for cancer treatment and as a chemo and radiation free conditioning regimen for HSC transplant.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and Collaboration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Exclusive (Equity) Agreement with The Board of Trustees of the Leland Stanford Junior University</w:t>
      </w:r>
    </w:p>
    <w:p>
      <w:pPr>
        <w:spacing w:after="0" w:line="117"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In November 2015, we entered into a license agreement with Stanford under which we obtained a worldwide, royalty-bearing, sublicenseable license under certain patents, know-how and other intellectual property, including rights associated with the composition of matter of 5F9, to develop, manufacture and commercialize products for use in certain licensed fields, the scope of which would include the application of the licensed intellectual property in oncology. The license granted to us in the agreement is exclusive, subject to certain pre-existing non-exclusive or exclusive rights that Stanford granted to third parties with respect to certain categories of the licensed patents in certain fields of use and retained rights by Stanford and all other non-profit institutions to use and practice the licensed patents and technology for internal research and other non-profit purposes.</w:t>
      </w:r>
    </w:p>
    <w:p>
      <w:pPr>
        <w:spacing w:after="0" w:line="165"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In consideration for the rights granted to us under the agreement, we paid Stanford non-refundable license fees totaling $200,000, reimbursed Stanford for past patent expenses totaling approximately $933,000 and in November 2016 we issued to Stanford 1,000,160 shares of our common stock. In addition, we are obligated to pay Stanford ongoing patent expenses and an annual license maintenance fee ranging from $20,000 to $70,000, depending on the year, which will be creditable against any royalties payable to Stanford in any such year following the first commercial sale of licensed products under the agreement. We are required to make milestone payments up to $5.6 million in respect of the first three licensed products that successfully satisfy certain clinical and regulatory milestones in the United States, major European countries and Japan. The first clinical milestone payment of $75,000 was paid to Stanford in February 2018, recognizing the initiation of the Phase 2 trial of 5F9 in NHL. We also agreed to pay Stanford tiered royalties on a specified percentage of net sales made by us, our affiliates and our sublicensees of licensed products at rates ranging from a low-to-high single digit percentage, subject to certain reductions and offsets, with the royalty rate on 5F9 reaching a high single digit percentage when its net sales exceed $3 billion. To the extent we enter into any sublicensing agreements granting rights to</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any of the licensed patents to a third party, other than the right to make, have made, use or sell licensed products on behalf of us or our affiliates, we will be required to pay Stanford a low-to-mid double digit percentage of all non-royalty income received from such sublicensees, which decreases based on our level of investment in the licensed products or licensed services and their stage of development. Our license, on a product-by-product and country-by country basis, shall become royalty-free and fully paid-up upon the later of (i) the date on which the last valid claim included in the licensed patents expires and (ii) the ten year anniversary of the first commercial sale of the licensed product.</w:t>
      </w:r>
    </w:p>
    <w:p>
      <w:pPr>
        <w:spacing w:after="0" w:line="17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are obligated to use commercially reasonable efforts to commercialize the inventions covered by the licensed patent rights. We are also required to achieve certain specified milestones by specified times, provided that an extension of such timelines can be obtained upon mutual agreement by the parties.</w:t>
      </w:r>
    </w:p>
    <w:p>
      <w:pPr>
        <w:spacing w:after="0" w:line="18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Stanford retains sole responsibility for the prosecution and maintenance of certain patents relating to SIRPa, upon consultation with us. We are responsible for the prosecution and maintenance of the other licensed patents, at our expense and using commercially reasonable efforts, but Stanford retains final approval of such matters. Except for the patents prosecuted and maintained by Stanford, we have the first right to enforce the licensed patents, at our expense.</w:t>
      </w:r>
    </w:p>
    <w:p>
      <w:pPr>
        <w:spacing w:after="0" w:line="18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may terminate the license at any time for any reason with at least 30 days’ written notice to Stanford. Stanford may terminate the license if we enter into an insolvency-related event or in the event of our material breach of the agreement or other specified obligations therein, in each case, that remains uncured for 30 days after the date that we are provided with written notice of such breach by Stanford. In addition, if we fail to achieve any specified diligence milestone by the specified time, Stanford has the right to terminate our license solely with respect to the applicable licensed products for which the milestone was not achieved, which could include 5F9. Our obligations to pay royalties that are accrued or accruable will survive any termination.</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Clinical Trial Collaboration and Supply Agreement with Merck KGaA</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 January 2018, we entered into a clinical trial collaboration agreement with Ares Trading S.A., a subsidiary of Merck KGaA, to evaluate the safety, tolerability and clinical activity of 5F9 combined with Merck KGaA’s cancer immunotherapy, avelumab, a fully humanized monoclonal antibody targeting PD-L1, in a Phase 1b clinical trial in patients with ovarian cancer. Pursuant to the agreement, we will act as the sponsor of the study and will hold the regulatory filings relating to the study. We will supply 5F9 and Merck KGaA will supply avelumab for the study, and we and Merck KGaA will jointly pay for the cost of the study. We will conduct the study under the supervision of a joint combination study committee comprised of an equal number of representatives from each of Merck KGaA and us.</w:t>
      </w:r>
    </w:p>
    <w:p>
      <w:pPr>
        <w:spacing w:after="0" w:line="193"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Under the terms of the agreement, we own the rights to any inventions or discoveries arising from the study that relate solely to 5F9. Merck KGaA owns the rights to any inventions or discoveries arising from the study that relate solely to avelumab. Both parties will jointly own the rights to inventions or discoveries relating to 5F9 and avelumab in combination. Each party has the sole right to prosecute and maintain patents relating to its solely owned inventions or discoveries, and we will be primarily responsible for, upon consultation with Merck KGaA, the prosecution, maintenance and defense of patents relating to jointly owned inventions or discoveries. We and Merck KGaA each have the first right to initiate legal action to enforce patents relating to jointly owned discoveries where the alleged infringement or misappropriation results from the development or sale of 5F9 or avelumab, respectively.</w:t>
      </w:r>
    </w:p>
    <w:p>
      <w:pPr>
        <w:spacing w:after="0" w:line="189"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During the course of the agreement and for 90 days after our delivery of the final clinical study report to Merck KGaA, we agreed to work exclusively with Merck KGaA for any trials testing 5F9 in combination with an anti-PD-1 or anti-PD-L1 antibody in the specific field of ovarian cancer. In addition we have an option to initiate an additional study under the agreement to evaluate 5F9 and avelumab in combination in patients with a different cancer indication or another indication that may be agreed by the parties, which Merck may elect to co-fund at its discretion.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 agreement will expire after 90 days following our provision of the final clinical study report to Merck KGaA. We and Merck KGaA each have the right to terminate the agreement in the event of an uncured material breach of the agreement by the other party. In addition, each party may terminate the agreement upon its own reasonable good faith determination (i) that the study presents a safety risk or (ii) that it is required to be terminated for medical, scientific, legal or regulatory reasons, or if an applicable regulatory authority takes any action that prevents the supply of its respective compound for use in the study. If Merck KGaA terminates the agreement for medical, scientific, legal or regulatory reasons relating to avelumab, we will be able to continue any study that is ongoing as of the effective date of termination.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Master Combination Study Agreement with Genentech, Inc.</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In November 2017, we entered into a master clinical trial collaboration agreement with Genentech to evaluate the safety, tolerability and clinical activity of 5F9 combined with Genentech’s cancer immunotherapy, atezolizumab, a fully humanized monoclonal antibody targeting PD-L1, in two separate Phase 1b clinical trials (in patients with bladder cancer and AML, respectively). Pursuant to the agreement, we will supply 5F9 for the studies and will partially reimburse Genentech for its costs in connection with the bladder cancer study, and Genentech will supply atezolizumab for the studies and be solely responsible for all of its costs in connection with the AML study. Genentech will conduct the studies under the supervision of a joint development committee comprised of representatives of both parties.</w:t>
      </w:r>
    </w:p>
    <w:p>
      <w:pPr>
        <w:spacing w:after="0" w:line="178"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color w:val="auto"/>
        </w:rPr>
        <w:t>Under the terms of the agreement, we own the rights to any inventions or discoveries arising from the study that relate solely to 5F9. Genentech owns the rights to any inventions or discoveries arising from the study that relate solely to atezolizumab. Both parties will jointly own the rights to inventions or discoveries relating to 5F9 and atezolizumab in combination, without the right to assign or license any patents that relate to such jointly owned rights to third parties unless necessary for the research, development or commercialization of products utilizing the combination of 5F9 and atezolizumab. Additionally, each party grants the other a non-exclusive, worldwide, fully-paid, perpetual, sublicenseable license to research, develop and commercialize combinations of 5F9 and atezolizumab. Genentech does not receive any rights from us to research, develop or commercialize 5F9 except in combination with atezolizumab and we do not receive any rights from Genentech to research, develop or commercialize atezolizumab except in combination with 5F9. Each party has the sole right to prosecute, maintain and enforce patents relating to its solely owned inventions or discoveries, and we and Genentech shall jointly prosecute, maintain and enforce patents relating to jointly owned inventions or discoveries.</w:t>
      </w:r>
    </w:p>
    <w:p>
      <w:pPr>
        <w:spacing w:after="0" w:line="16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As part of the agreement, we agreed to notify Genentech if we intend to commence discussions with a third party regarding an agreement to commercialize 5F9 in combination with a PD-L1 or PD-1 antagonist. Following such notice, we may not execute any such agreement until the earlier of 30 days following the date of such notice and Genentech’s written confirmation that it does not intend to discuss with us a similar commercial arrangement.</w:t>
      </w:r>
    </w:p>
    <w:p>
      <w:pPr>
        <w:spacing w:after="0" w:line="18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 agreement shall expire after the later of (i) five years after its effective date and (ii) the expiration, termination or completion of all studies being performed under the agreement. We and Genentech each have the right to terminate the agreement in the event of a material breach of the agreement by the other party that remains uncured for 30 days after the date that such party is provided with written notice of such breach. In addition, subject to certain discussion obligations and limitations, each party may suspend or terminate a study under the agreement if, based on its review of the study data and other related information, such party determines that the study presents a safety risk or if an applicable regulatory authority withdraws authorization to conduct such study or takes any action that prevents the supply of 5F9 or atezolizumab for use in the study.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Clinical Trial Collaboration and Supply Agreement with Eli Lilly and Company</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August 2016, we entered into a clinical trial collaboration agreement with Eli Lilly and Company and its subsidiary ImClone LLC, collectively Lilly, to evaluate the safety, tolerability and clinical activity of 5F9</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combined with Lilly’s cancer immunotherapy, cetuximab, a chimeric monoclonal antibody targeting the epidermal growth factor receptor, in a Phase 1b/2 clinical trial in patients with solid tumors and CRC. Pursuant to the agreement, we will act as the sponsor of the study and will hold the applicable regulatory filings relating to the study. Lilly will supply cetuximab for the study at no cost to us, and we will supply 5F9 and bear all other costs of the study.</w:t>
      </w:r>
    </w:p>
    <w:p>
      <w:pPr>
        <w:spacing w:after="0" w:line="187"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Under the terms of the agreement, we own the rights to any inventions or discoveries arising from the study that relate solely to 5F9. Lilly owns the rights to any inventions or discoveries arising from the study that relate solely to cetuximab. Both parties will jointly own the rights to inventions or discoveries relating to 5F9 and cetuximab in combination. Pursuant to the agreement, the prosecution, maintenance and defense of patents relating to jointly owned inventions or discoveries will be managed jointly by the parties. Each party has the first right to initiate legal action to enforce patents relating to jointly owned discoveries depending on whether the alleged infringement or misappropriation results from the development or sale of a biosimilar or interchangeable version of 5F9, in which case we will have the first right, or cetuximab, in which case Lilly will have the first right. Each party has the sole right to prosecute, maintain and enforce patents relating to its solely owned inventions or discoveries.</w:t>
      </w:r>
    </w:p>
    <w:p>
      <w:pPr>
        <w:spacing w:after="0" w:line="16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Unless earlier terminated, the agreement will expire after each party completes all of its obligations under the agreement. Each party may terminate the agreement for an uncured material breach by the other party, for certain violations of anti-corruption and other applicable laws by the other party, if such party determines in good faith that the continuation of the study presents an unreasonable safety risk to patients, or if an applicable regulatory authority takes any action that prevents the supply of its respective compound for use in the study. In addition, we can terminate the agreement if we discontinue the development of 5F9, and Lilly can terminate the agreement if cetuximab is no longer commercially available.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Given our stage of development, we have not yet established a commercial organization or distribution capabilities. We plan to build focused capabilities in the United States and European Union to commercialize our development programs focused on NHL, where we believe the patient populations and medical specialists for the indications we are targeting are sufficiently concentrated to allow us to effectively promote our product, if approved for commercial sale, with a targeted sales team. In other markets for which commercialization may be less capital efficient for us, we may selectively pursue strategic collaborations with third parties in order to maximize the commercial potential of our drug candidates.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We currently do not own or operate any manufacturing facilities. We rely, and expect to continue to rely for the foreseeable future, on third party contract manufacturing organizations, or CMOs, including Lonza, to produce our product candidates for preclinical and clinical testing, as well as for commercial manufacture if our product candidates receive marketing approval. We require that our CMOs produce bulk drug substances and finished drug products in accordance with current cGMPs and all other applicable laws and regulations. We maintain agreements with our manufacturers that include confidentiality and intellectual property provisions to protect our proprietary rights related to our product candidates.</w:t>
      </w:r>
    </w:p>
    <w:p>
      <w:pPr>
        <w:spacing w:after="0" w:line="158"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We have engaged Lonza to manufacture 5F9 for preclinical and clinical use. Additional CMOs are used to label, package and distribute 5F9 for preclinical and clinical use. We obtain our supplies from these CMOs on a purchase order basis and do not have any long-term supply arrangements in place. We do not currently have arrangements in place for redundant supply. For all of our product candidates, we intend to identify and qualify additional manufacturers to provide the active pharmaceutical ingredient and fill-and-finish services prior to seeking regulatory approval.</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August 2016 and December 2017, we entered into development and manufacturing agreements with Lonza relating to the manufacturing of 5F9-related products. The August 2016 agreement was amended in November 2017 to provide for the manufacturing of our other preclinical program related products.</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Under the 2016 agreement, we are required to pay an annual suite reservation fee in each contract year along with the costs of ingredients, solvents and other components of 5F9-related and our preclinical program-related products.</w:t>
      </w:r>
    </w:p>
    <w:p>
      <w:pPr>
        <w:spacing w:after="0" w:line="170"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Our payment obligations under the 2017 agreement will begin in January 2019 and run through the expiration of the agreement, which is expected in December 2021, unless the agreement is extended for at least an additional year. Under the 2017 agreement, we must also pay the costs of ingredients, solvents and other components of 5F9-related products required for the performance of the manufacturing process or services.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pharmaceutical industry and the immuno-oncology subsector are characterized by rapidly advancing technologies, intense competition and a strong emphasis on proprietary drugs. We face potential competition from many different sources, including major pharmaceutical, specialty pharmaceutical and biotechnology companies, academic institutions, governmental agencies and public and private research institutions. Any drug candidates that we successfully develop and commercialize will compete with existing treatments and new treatments that may become available in the future.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key competitive factors affecting the success of 5F9, if approved, are likely to be its efficacy, safety, convenience, pricing and durability.</w:t>
      </w:r>
    </w:p>
    <w:p>
      <w:pPr>
        <w:spacing w:after="0" w:line="23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are aware that Celgene Corporation, Trillium Therapeutics, Alexo Therapeutics, Arch Therapeutics, Surface Oncology, Novimmune, OSE Immunotherapeutics and Aurigene Discovery Technologies and others are developing drugs targeting the CD47 pathway that may have utility for the treatment of indications that we are targeting.</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As noted above, there are existing treatment alternatives in each of the indications we are targeting, and we will face competition from the incumbent drug therapies in each of those markets.</w:t>
      </w:r>
    </w:p>
    <w:p>
      <w:pPr>
        <w:spacing w:after="0" w:line="170"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safer, more effective, more convenient, less expensive or with a more favorable label than 5F9 or any other drug that we may develop. Our competitors also may obtain FDA or other regulatory approvals for their drugs more rapidly than we may obtain approval for our drug, which could result in our competitors establishing a strong market position before we are able to enter the market. 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will also compete with us in recruiting and retaining qualified scientific and management personnel and establishing clinical trial sites and subject registration for clinical trials, as well as in acquiring technologies complementary to, or that may be necessary for, our programs.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current and future product candidates, novel discoveries, product development technologies and know-how, to operate without infringing on the proprietary rights of others and to prevent others from infringing our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proprietary rights. We seek to protect our proprietary position by, among other methods, filing or in-licensing U.S. and foreign patents and patent applications related to technology, inventions and improvements that are important to the development and implementation of our business. We also rely on trademarks, trade secrets, copyright protection, know-how, continuing technological innovation and confidential information to develop and maintain our proprietary position.</w:t>
      </w:r>
    </w:p>
    <w:p>
      <w:pPr>
        <w:spacing w:after="0" w:line="18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Regardless of the coverage we seek under our existing patent applications, there is always a risk that an alteration to the product or process may provide sufficient basis for a competitor to avoid infringement claims. In addition, the coverage claimed in a patent application can be significantly reduced before a patent is issued and courts can reinterpret patent scope after issuance. Moreover, many jurisdictions, including the United States, permit third parties to challenge issued patents in administrative proceedings, which may result in further narrowing or even cancellation of patent claims. Moreover, we cannot provide any assurance that any patents will be issued from our pending or any future applications or that any current or future issued patents will adequately protect our intellectual property.</w:t>
      </w:r>
    </w:p>
    <w:p>
      <w:pPr>
        <w:spacing w:after="0" w:line="193"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As of March 31, 2018, we own four U.S. provisional patent applications, and our portfolio of licensed patents, which we license from Stanford, includes approximately 91 issued patents (18 of which are in the United States) and approximately 98 pending patent applications (23 of which are in the United States). These licensed patents are expected to expire between 2029 and 2034 excluding any extension of patent term that may be available. For more information regarding our license agreement with Stanford, please see “Business—License and Collaboration Agreements.”</w:t>
      </w:r>
    </w:p>
    <w:p>
      <w:pPr>
        <w:spacing w:after="0" w:line="154"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Our patent portfolio licensed from Stanford contains patent families directed to the 5F9 composition of matter and methods of using 5F9 as a monotherapy and in combination with certain other therapeutic compounds, which are comprised of 11 U.S. issued patents, four U.S. patent applications and two granted European patents which have each been validated as national patents in 12 different European countries. These patents are subject to retained rights by Stanford to allow academic and non-profit research institutions to practice the licensed technology and patents for non-commercial purposes. In addition, some of these patents are subject to certain pre-existing non-exclusive rights that Stanford has granted to two third parties. In particular, a non-exclusive license to certain patents was granted to a third party in the field of research product sales and diagnostics for use in a flow cytometry platform. Another non-exclusive license to certain patents was granted to a different third party for the use of certain SIRPa proteins, SIRPa fragments and SIRPa fusion proteins as therapeutic agents for use in the therapeutics field. For clarity, we believe that these pre-existing non-exclusive licenses do not relate to 5F9 or our other product candidates or their use in the therapeutic field. These patents are expected to expire between 2029 and 2034 excluding any extension of patent term that may be available.</w:t>
      </w:r>
    </w:p>
    <w:p>
      <w:pPr>
        <w:spacing w:after="0" w:line="178"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Provisional patent applications are not eligible to become issued patents until, among other things, we file a non-provisional patent application within 12 months of filing of one or more of our related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58"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Individual patents extend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In addition, in certain instances, a patent term can be extended to recapture a portion of the delay by the USPTO, in issuing the patent as well as a portion of the term effectively lost as a result of the FDA regulatory review period. However, as to the FDA component, the restoration period cannot be longer than five years, the total patent term including the restoration period must not exceed 14 years following FDA approval, only one patent applicable to each regulatory review period may be extended and only</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those claims covering the approved drug or a method for using it may be extended. The duration of foreign patents varies in accordance with provisions of applicable local law, but typically is also 20 years from the earliest effective filing date. The actual protection afforded by a patent may vary on a product-by-product basis and from country to country and can depend upon many factors, including the type of patent, the scope of its coverage, the availability of regulatory-related extensions, the availability of legal remedies in a particular country and the validity and enforceability of the patent.</w:t>
      </w:r>
    </w:p>
    <w:p>
      <w:pPr>
        <w:spacing w:after="0" w:line="154"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Furthermore, we rely upon trade secrets and know-how and continuing technological innovation to develop and maintain our competitive position. We seek to protect our proprietary information, in part, using confidentiality agreements with our employees and consultants and any potential commercial partners and collaborators and invention assignment agreements with our employees. We also have implemented or intend to implement confidentiality agreements or invention assignment agreements with our selected consultants and any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82"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 xml:space="preserve">Our commercial success will also depend in part on not infringing upon,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may have an adverse impact on us. Given that patent applications in the United States and certain other jurisdictions are maintained in secrecy for 18 months or potentially longer, and since publication of discoveries in the scientific or patent literature often lags behind actual discoveries, we cannot be certain of the priority of inventions covered by pending patent applications. Moreover, we may have to participate in interference, revocation, derivation, re-examination, post-grant review, </w:t>
      </w:r>
      <w:r>
        <w:rPr>
          <w:rFonts w:ascii="Arial" w:cs="Arial" w:eastAsia="Arial" w:hAnsi="Arial"/>
          <w:sz w:val="16"/>
          <w:szCs w:val="16"/>
          <w:i w:val="1"/>
          <w:iCs w:val="1"/>
          <w:color w:val="auto"/>
        </w:rPr>
        <w:t>inter parte</w:t>
      </w:r>
      <w:r>
        <w:rPr>
          <w:rFonts w:ascii="Arial" w:cs="Arial" w:eastAsia="Arial" w:hAnsi="Arial"/>
          <w:sz w:val="16"/>
          <w:szCs w:val="16"/>
          <w:color w:val="auto"/>
        </w:rPr>
        <w:t>s review, or opposition proceedings brought by third parties or declared by the USPTO or an equivalent foreign body.</w:t>
      </w:r>
    </w:p>
    <w:p>
      <w:pPr>
        <w:spacing w:after="0" w:line="166"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We are aware of a family of patents and patent applications owned by SSB and reportedly licensed to Synthon that may encompass certain combination therapies for the treatment of cancer using anti-CD47 antibodies. This family of U.S. and foreign patents includes U.S. Patent No. 9,352,037, or the U.S. ‘037 Patent, the related European Patent No. EP 2 282 772, or the EP ’772 Patent, and its UK counterpart EP (UK) 2 282 772, or the UK ’772 Patent. These patents relate to the treatment of cancer with an anti-CD47 antibody or an anti-SIRPa antibody in combination with certain other antibodies, including rituximab or cetuximab. We believe that the priority dates for the family of related patents filed by Stanford and exclusively licensed to us overlap and pre-date the priority dates for this family of patents. We have initiated three challenges to the SSB family of patents:</w:t>
      </w:r>
    </w:p>
    <w:p>
      <w:pPr>
        <w:spacing w:after="0" w:line="70" w:lineRule="exact"/>
        <w:rPr>
          <w:sz w:val="20"/>
          <w:szCs w:val="20"/>
          <w:color w:val="auto"/>
        </w:rPr>
      </w:pPr>
    </w:p>
    <w:p>
      <w:pPr>
        <w:jc w:val="both"/>
        <w:ind w:left="1060" w:hanging="424"/>
        <w:spacing w:after="0" w:line="293"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In January 2018, we petitioned the USPTO for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IPR, of the U.S. ’037 Patent. The IPR petition is pending and seeks to have all claims of the U.S. ’037 Patent invalidated. The USPTO is expected to decide whether or not to institute the IPR in July 2018. It is possible that the USPTO may deny our petition and refuse to institute the IPR proceedings against the U.S. ’037 Patent. Even if the USPTO does institute the IPR, it is possible that it will ultimately rule against us and maintain the claims of the U.S. ’037 Patent. If we are unsuccessful in our challenge to the U.S. ’037 Patent and become subject to litigation or are unable to obtain a license on commercially reasonable terms with respect to such patent, it could harm our business, financial condition, results of operations and prospects.</w:t>
      </w:r>
    </w:p>
    <w:p>
      <w:pPr>
        <w:spacing w:after="0" w:line="70"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December 2016 and April 2017, we filed third party observations in the EPO in an opposition against the EP ’772 Patent. The opposition was rejected by the EPO and the original opponent, BliNK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80"/>
        <w:spacing w:after="0" w:line="272" w:lineRule="auto"/>
        <w:rPr>
          <w:sz w:val="20"/>
          <w:szCs w:val="20"/>
          <w:color w:val="auto"/>
        </w:rPr>
      </w:pPr>
      <w:r>
        <w:rPr>
          <w:rFonts w:ascii="Arial" w:cs="Arial" w:eastAsia="Arial" w:hAnsi="Arial"/>
          <w:sz w:val="17"/>
          <w:szCs w:val="17"/>
          <w:color w:val="auto"/>
        </w:rPr>
        <w:t>Biomedical SAS, or BliNK, has appealed the decision. We cannot predict the outcome of the opposition proceeding and any party may appeal the opposition decision to the Technical Boards of Appeal at the EPO. On June 4, 2018, we signed an agreement with BliNK to acquire its anti-CD47 antibody program, including certain intellectual property and its opposition against the EP ’772 Patent. If we are unsuccessful in our challenge to the EP ’772 Patent and become subject to litigation or are unable to obtain a license on commercially reasonable terms with respect to such patent, it could harm our business, financial condition, results of operations and prospects. For more information regarding the agreement with BliNK, see “Management’s Discussion and Analysis of Financial Condition and Results of Operations—Contractual Obligations and Commitments—License and Collaboration Agreements.”</w:t>
      </w:r>
    </w:p>
    <w:p>
      <w:pPr>
        <w:spacing w:after="0" w:line="83" w:lineRule="exact"/>
        <w:rPr>
          <w:sz w:val="20"/>
          <w:szCs w:val="20"/>
          <w:color w:val="auto"/>
        </w:rPr>
      </w:pPr>
    </w:p>
    <w:p>
      <w:pPr>
        <w:jc w:val="both"/>
        <w:ind w:left="1060" w:hanging="424"/>
        <w:spacing w:after="0" w:line="259"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December 2016, we initiated a claim in the United Kingdom High Court of Justice to revoke the UK ’772 Patent. On May 22, 2018, we and the defendant, SSB, filed a Joint Consent Order with the High Court of Justice to revoke the UK ’772 Patent and to vacate the revocation action. On May 23, 2018, the High Court of Justice sealed the Joint Consent Order, revoking the UK ’772 Patent and vacating the case, and specifying SSB to pay us assessed trial costs.</w:t>
      </w:r>
    </w:p>
    <w:p>
      <w:pPr>
        <w:spacing w:after="0" w:line="187"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We are also aware of an opposition filed by different third parties against European patent number EP 2 242 512, or the EP ’512 Patent, a European patent that we exclusively in-license from Stanford. The EPO opposition proceeding may involve issues including, but not limited to, procedural formalities related to filing the European patent application, priority, and the patentability of the involved claims. We cannot predict the outcome of the opposition proceeding and any party may appeal the opposition decision to the Technical Boards of Appeal at the EPO. One or more of the third parties that have filed oppositions against the EP ’512 Patent or other third parties may file future oppositions or other challenges, in Europe or other jurisdictions, against other patents that we in-license or own. The loss of priority for, or the loss of, the EP ’512 Patent or our other patents could harm our business, financial condition, results of operations and prospects.</w:t>
      </w:r>
    </w:p>
    <w:p>
      <w:pPr>
        <w:spacing w:after="0" w:line="17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For more information regarding the risks related to our intellectual property, including the above referenced intellectual property proceedings, see “Risk Factors—Risks Related to Our Intellectual Property.”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products,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117"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In the United States, the FDA regulates pharmaceuticals under the Federal Food, Drug, and Cosmetic Act, or FDCA, the Public Health Service Act, or PHSA, and their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process required by the FDA before a pharmaceutical product may be marketed in the United States generally involves the following:</w:t>
      </w:r>
    </w:p>
    <w:p>
      <w:pPr>
        <w:spacing w:after="0" w:line="131" w:lineRule="exact"/>
        <w:rPr>
          <w:sz w:val="20"/>
          <w:szCs w:val="20"/>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GLP regulations;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product for each indication;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submission to the FDA of a BLA in the case of a biologic such as 5F9;</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 and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FDA review and approval of the BLA.</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17"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Clinical trials involve the administration of the investigational new drug to human patients under the supervision of qualified investigators in accordance with GCP requirements, which include the requirement that all research patients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or NIH, for public dissemination on their www.clinicaltrials.gov website.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131" w:lineRule="exact"/>
        <w:rPr>
          <w:sz w:val="20"/>
          <w:szCs w:val="20"/>
          <w:color w:val="auto"/>
        </w:rPr>
      </w:pPr>
    </w:p>
    <w:p>
      <w:pPr>
        <w:jc w:val="both"/>
        <w:ind w:left="1060" w:hanging="424"/>
        <w:spacing w:after="0" w:line="264"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Phase 1 clinical trial: The drug is initially introduced into healthy human volunteers or patients with the target disease or condition and tested for safety, dosage tolerance, absorption, metabolism, distribution, excretion and, if possible, to gain an early indication of its effectiveness.</w:t>
      </w:r>
    </w:p>
    <w:p>
      <w:pPr>
        <w:spacing w:after="0" w:line="86" w:lineRule="exact"/>
        <w:rPr>
          <w:rFonts w:ascii="Arial" w:cs="Arial" w:eastAsia="Arial" w:hAnsi="Arial"/>
          <w:sz w:val="18"/>
          <w:szCs w:val="18"/>
          <w:color w:val="auto"/>
        </w:rPr>
      </w:pPr>
    </w:p>
    <w:p>
      <w:pPr>
        <w:ind w:left="1060" w:hanging="424"/>
        <w:spacing w:after="0" w:line="308"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Phase 2 clinical trial: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60" w:hanging="424"/>
        <w:spacing w:after="0" w:line="286"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Phase 3 clinical trial: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66"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Each of Phase 1, Phase 2 and Phase 3 clinical trials may not be completed successfully within any specified period, or at all. Furthermore, the FDA or the sponsor may suspend or terminate a clinical trial at any time on various grounds, including a finding that the research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In most cases, the submission of a BLA is subject to a substantial application user fee. Under the Prescription Drug User Fee Act, or PDUFA, guidelines that are currently in effect, the FDA has a goal of ten months from the date of “filing” of a standard BLA to review and act on the submission. This review typically takes 12 months from the date the BLA is submitted to FDA because the FDA has approximately two months to make a “filing” decision.</w:t>
      </w:r>
    </w:p>
    <w:p>
      <w:pPr>
        <w:spacing w:after="0" w:line="19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In addition, under the Pediatric Research Equity Act of 2003, or PREA, as amended and reauthorized, certain applications or supplements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FDA also may require submission of a risk evaluation and mitigation strategy, or REMS, plan to ensure that the benefits of the drug outweigh its risks. The REMS plan could include medication guides, physician communication plans, assessment plans, or elements to assure safe use, such as restricted distribution methods, patient registries, or other risk minimization tools.</w:t>
      </w:r>
    </w:p>
    <w:p>
      <w:pPr>
        <w:spacing w:after="0" w:line="181"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 FDA conducts a preliminary review of all BLAs within the first 60 days after submission, before accepting them for filing, to determine whether they are sufficiently complete to permit substantive review. The FDA may request additional information rather than accept a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 BLA to determine, among other things, whether the biologic is safe and effective and whether the facility in which it is manufactured, processed, packaged or held meets standards designed to assure the product’s continued safety, quality and purity.</w:t>
      </w:r>
    </w:p>
    <w:p>
      <w:pPr>
        <w:spacing w:after="0" w:line="17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product within required specifications. Additionally, before approving a BLA, the FDA may inspect one or more clinical trial sites to assure compliance with GCP requirements.</w:t>
      </w:r>
    </w:p>
    <w:p>
      <w:pPr>
        <w:spacing w:after="0" w:line="170"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application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89"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Pharmaceuticals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FDA may impose a number of post-approval requirements as a condition of approval of an application. For example, the FDA may require post-marketing testing, including Phase 4 clinical trials, and surveillance to further assess and monitor the product’s safety and effectiveness after commercialization.</w:t>
      </w:r>
    </w:p>
    <w:p>
      <w:pPr>
        <w:spacing w:after="0" w:line="181"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In addition, pharmaceutical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5"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clinical trials to assess new safety risks; or imposition of distribution or other restrictions under a REMS program. Other potential consequences include, among other things:</w:t>
      </w:r>
    </w:p>
    <w:p>
      <w:pPr>
        <w:spacing w:after="0" w:line="76" w:lineRule="exact"/>
        <w:rPr>
          <w:sz w:val="20"/>
          <w:szCs w:val="20"/>
          <w:color w:val="auto"/>
        </w:rPr>
      </w:pPr>
    </w:p>
    <w:p>
      <w:pPr>
        <w:ind w:left="1060" w:hanging="424"/>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Orphan Drug Designation in the United States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Under the Orphan Drug Act of 1983, the FDA may grant orphan designation to a drug or biologic intended to treat a rare disease or condition, which is generally a disease or condition that affects fewer than 200,000 individuals in the United States. Orphan drug designation must be requested before submitting a BLA or supplemental BLA. After the FDA grants orphan drug designation, the name of the sponsor, identity of the drug or biologic and its potential orphan use are disclosed publicly by the FDA. The orphan drug designation does not shorten the duration of the regulatory review or approval process, but does provide certain advantages, such as a waiver of PDUFA, fees, enhanced access to FDA staff and potential waiver of pediatric research requirements.</w:t>
      </w:r>
    </w:p>
    <w:p>
      <w:pPr>
        <w:spacing w:after="0" w:line="193"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or biologic for the same indication for seven years, except in limited circumstances, such as a showing of clinical superiority to the product with orphan drug exclusivity.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application user fee. 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2"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In August 2015, the FDA granted orphan drug designation in the United States for 5F9 for the treatment of AML. We intend to pursue orphan drug designation for 5F9 in additional indications, as well as for potential other future product candidates, in the United States and in the European Union as we deem it appropriate. Even if we obtain orphan drug designation for a product candidate, we may not obtain orphan exclusivity and that exclusivity may not effectively protect the drug or biologic from the competition of different drugs or biologics for the same condition, which could be approved during the exclusivity period.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The FDA is required to facilitate the development and expedite the review of pharmaceutical products that are intended for the treatment of a serious or life-threatening condition for which there is no effective treatment and which demonstrate the potential to address unmet medical needs for the condition. Under the fast track program, the sponsor of a new drug candidate may request the FDA to designate the product for a specific</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indication as a fast track product concurrent with or after the filing of the IND for the product candidate. The FDA must determine if the product candidate qualifies for fast track designation within 60 days after receipt of the sponsor’s request. In April 2018, the FDA granted Fast Track designations to 5F9 for the treatment of both relapsed and/or refractory DLBCL and relapsed and/or refractory FL.</w:t>
      </w:r>
    </w:p>
    <w:p>
      <w:pPr>
        <w:spacing w:after="0" w:line="18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In addition to other benefits, such as the ability to have more frequent interactions with the FDA, the agency may initiate review of sections of a fast track product’s BLA before the application is complete. This rolling review is available if the applicant provides and the FDA approves a schedule for the submission of the remaining information and the applicant pays applicable user fees. However, the FDA’s PDUFA review period for a fast track application does not begin until the last section of the BLA is submitted. In addition, the fast track designation may be withdrawn by the FDA if the agency believes that the designation is no longer supported by data emerging in the clinical trial process.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Sales of our drug candidates, if approved, will depend, in part, on the extent to which such products will be covered by third-party payors, such as government health care programs, commercial insurance and managed healthcare organizations. These third-party payors are increasingly limiting coverage or reducing reimbursements for medical products and services. In addition, the U.S. government, state legislatures and foreign governments have continued implementing cost-containment programs, including price controls, restrictions on reimbursement and requirements for substitution of generic products. Third-party payors decide which therapies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drug candidates that we develop will be made on a payor-by-payor basis.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Adoption of price controls and cost-containment measures, and adoption of more restrictive policies in jurisdictions with existing controls and measures, could further limit our net revenue and results. Decreases in third-party reimbursement for our drug candidates or a decision by a third-party payor to not cover our drug candidates could reduce physician usage of our drug candidates, once approved, and negatively impact our sales, results of operations and financial condition.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Healthcare Laws</w:t>
      </w:r>
    </w:p>
    <w:p>
      <w:pPr>
        <w:spacing w:after="0" w:line="121"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Because of our current and future arrangements with healthcare professionals, principal investigators, consultants, customers and third-party payors, we will also be subject to healthcare regulation and enforcement by the federal government and the states and foreign governments in which we will conduct our business, including our clinical research, proposed sales, marketing and educational programs. Failure to comply with these laws, where applicable, can result in the imposition of significant civil penalties, criminal penalties, or both. The U.S. laws that may affect our ability to operate, among others, include: HIPAA, as amended by HITECH, which is a federal law governing the conduct of certain electronic healthcare transactions and protects the security and privacy of protected health information; certain state laws governing the privacy and security of health information in certain circumstances, some of which are more stringent than HIPAA and many of which differ from each other in significant ways and may not have the same effect, thus complicating compliance efforts; 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federal false claims laws which prohibit, among other things, individuals or entities from knowingly presenting, or causing to be presented, claims for payment from Medicare, Medicaid, or other</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third-party payors that are false or fraudulent; federal criminal laws that prohibit executing a scheme to defraud any healthcare benefit program or making false statements relating to healthcare matters; the Physician Payments Sunshine Act, which requires manufacturers of drugs, devices, biologics and medical supplies to report annually to the U.S. Department of Health and Human Services information related to payments and other transfers of value to physicians (defined to include doctors, dentists, optometrists, podiatrists and chiropractors) and teaching hospitals, and ownership and investment interests held by physicians and their immediate family members; and state law equivalents of each of the above federal laws, such as anti-kickback and false claims laws which may apply to items or services reimbursed by any third-party payor, including commercial insurers.</w:t>
      </w:r>
    </w:p>
    <w:p>
      <w:pPr>
        <w:spacing w:after="0" w:line="16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addition, many states have similar laws and regulations, such as anti-kickback and false claims laws that may be broader in scope and may apply regardless of payor, in addition to items and services reimbursed under Medicaid and other state programs. Additionally, to the extent that our product is sold in a foreign country, we may be subject to similar foreign laws.</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Current and future legislative proposals to further reform healthcare or reduce healthcare costs may result in lower reimbursement for our products. The cost containment measures that payors and providers are instituting and the effect of any healthcare reform initiative implemented in the future could significantly reduce our revenues from the sale of our products.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Orphan Drug Designation in the European Union</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 accordance with Article 3 of Regulation (EC) No. 141/2000 of the European Parliament and of the Council of 16 December 1999 on orphan medicinal products, a medicinal product may be designated as an orphan medicinal product if: (1) it is intended for the diagnosis, prevention or treatment of a life-threatening or chronically debilitating condition; (2) either (a) such condition affects no more than five in 10,000 persons in the European Union when the application is made, or (b) the product, without the incentives derived from orphan medicinal product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w:t>
      </w:r>
    </w:p>
    <w:p>
      <w:pPr>
        <w:spacing w:after="0" w:line="189"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Products authorized in the European Union as orphan medicinal products are entitled to 10 years of market exclusivity. The 10-year market exclusivity may be reduced to six years if, at the end of the fifth year, it is established that the product no longer meets the criteria for orphan designation. Additionally, marketing authorization may be granted to a similar product during the 10-year period of market exclusivity for the same therapeutic indication at any time if:</w:t>
      </w:r>
    </w:p>
    <w:p>
      <w:pPr>
        <w:spacing w:after="0" w:line="92" w:lineRule="exact"/>
        <w:rPr>
          <w:sz w:val="20"/>
          <w:szCs w:val="20"/>
          <w:color w:val="auto"/>
        </w:rPr>
      </w:pPr>
    </w:p>
    <w:p>
      <w:pPr>
        <w:ind w:left="1060" w:hanging="424"/>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holder of the marketing authorization for the original orphan medicinal product cannot supply enough orphan medicinal product.</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November 2015, the EMA granted orphan drug designation in the European Union for 5F9 for the treatment of AML.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Healthcare Reform</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Current and future legislative proposals to further reform healthcare or reduce healthcare costs may result in lower reimbursement for our products. The cost containment measures that payors and providers are instituting and the effect of any healthcare reform initiative implemented in the future could significantly reduce our revenues from the sale of our products.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For example, implementation of the Affordable Care Act has substantially changed healthcare financing and delivery by both governmental and private insurers, and significantly impacted the pharmaceutical industry. The Affordable Care Act, among other things, established an annual, nondeductible fee on any entity that manufactures or imports certain specified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extended the Medicaid Drug Rebate program to utilization of prescriptions of individuals enrolled in Medicaid managed care organizations, and provided incentives to programs that increase the federal government’s comparative effectiveness research.</w:t>
      </w:r>
    </w:p>
    <w:p>
      <w:pPr>
        <w:spacing w:after="0" w:line="178"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Some of the provisions of the Affordable Care Act have yet to be implemented, and there have been judicial and congressional challenges to certain aspects of the Affordable Care Act.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U.S. House of Representatives passed legislation known as the American Health Care Act of 2017 in May 2017. More recently, the Senate Republicans introduced and then updated a bill to replace the Affordable Care Act known as the Better Care Reconciliation Act of 2017. The Senate Republicans also introduced legislation to repeal the Affordable Care Act without companion legislation to replace it, and a “skinny” version of the Better Care Reconciliation Act of 2017. Each of these measures was rejected by the full Senate. Congress will likely consider other legislation to replace elements of the Affordable Care Act.</w:t>
      </w:r>
    </w:p>
    <w:p>
      <w:pPr>
        <w:spacing w:after="0" w:line="182"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For example, in August 2011, then-President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Recently,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2"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expect that additional federal and state, as well as foreign, healthcare reform measures will be adopted in the future, any of which could result in reduced demand for our products or additional pricing pressure.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As of March 31, 2018, we had 46 full-time employees, (i) 31 of whom were primarily engaged in research and development activities and (ii) 16 of whom had an M.D. or Ph.D. degree. None of our employees is represented by a labor union and we consider our employee relations to be good.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principal executive offices are located at 1490 O’Brien Drive, Suite A, Menlo Park, California, under a lease that expires in 2021. We believe that our facilities are adequate to meet our current needs.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From time to time, we may become involved in legal proceedings arising in the ordinary course of our business.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concerning our directors and executive officers, including their ages as of June 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Age</w:t>
            </w:r>
          </w:p>
        </w:tc>
        <w:tc>
          <w:tcPr>
            <w:tcW w:w="3580" w:type="dxa"/>
            <w:vAlign w:val="bottom"/>
            <w:gridSpan w:val="3"/>
          </w:tcPr>
          <w:p>
            <w:pPr>
              <w:ind w:left="14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6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84"/>
        </w:trPr>
        <w:tc>
          <w:tcPr>
            <w:tcW w:w="3060" w:type="dxa"/>
            <w:vAlign w:val="bottom"/>
            <w:gridSpan w:val="2"/>
          </w:tcPr>
          <w:p>
            <w:pPr>
              <w:spacing w:after="0"/>
              <w:rPr>
                <w:sz w:val="20"/>
                <w:szCs w:val="20"/>
                <w:color w:val="auto"/>
              </w:rPr>
            </w:pPr>
            <w:r>
              <w:rPr>
                <w:rFonts w:ascii="Arial" w:cs="Arial" w:eastAsia="Arial" w:hAnsi="Arial"/>
                <w:sz w:val="18"/>
                <w:szCs w:val="18"/>
                <w:color w:val="auto"/>
              </w:rPr>
              <w:t>Mark A. McCamish, M.D.</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66</w:t>
            </w:r>
          </w:p>
        </w:tc>
        <w:tc>
          <w:tcPr>
            <w:tcW w:w="3580" w:type="dxa"/>
            <w:vAlign w:val="bottom"/>
            <w:gridSpan w:val="3"/>
          </w:tcPr>
          <w:p>
            <w:pPr>
              <w:ind w:left="140"/>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84"/>
        </w:trPr>
        <w:tc>
          <w:tcPr>
            <w:tcW w:w="3060" w:type="dxa"/>
            <w:vAlign w:val="bottom"/>
            <w:gridSpan w:val="2"/>
          </w:tcPr>
          <w:p>
            <w:pPr>
              <w:spacing w:after="0"/>
              <w:rPr>
                <w:sz w:val="20"/>
                <w:szCs w:val="20"/>
                <w:color w:val="auto"/>
              </w:rPr>
            </w:pPr>
            <w:r>
              <w:rPr>
                <w:rFonts w:ascii="Arial" w:cs="Arial" w:eastAsia="Arial" w:hAnsi="Arial"/>
                <w:sz w:val="18"/>
                <w:szCs w:val="18"/>
                <w:color w:val="auto"/>
              </w:rPr>
              <w:t>Ann D. Rhoads</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53</w:t>
            </w:r>
          </w:p>
        </w:tc>
        <w:tc>
          <w:tcPr>
            <w:tcW w:w="358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r>
      <w:tr>
        <w:trPr>
          <w:trHeight w:val="297"/>
        </w:trPr>
        <w:tc>
          <w:tcPr>
            <w:tcW w:w="3060" w:type="dxa"/>
            <w:vAlign w:val="bottom"/>
            <w:gridSpan w:val="2"/>
          </w:tcPr>
          <w:p>
            <w:pPr>
              <w:spacing w:after="0"/>
              <w:rPr>
                <w:sz w:val="20"/>
                <w:szCs w:val="20"/>
                <w:color w:val="auto"/>
              </w:rPr>
            </w:pPr>
            <w:r>
              <w:rPr>
                <w:rFonts w:ascii="Arial" w:cs="Arial" w:eastAsia="Arial" w:hAnsi="Arial"/>
                <w:sz w:val="18"/>
                <w:szCs w:val="18"/>
                <w:color w:val="auto"/>
              </w:rPr>
              <w:t>Chris H. Takimoto, M.D.</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59</w:t>
            </w:r>
          </w:p>
        </w:tc>
        <w:tc>
          <w:tcPr>
            <w:tcW w:w="3580" w:type="dxa"/>
            <w:vAlign w:val="bottom"/>
            <w:gridSpan w:val="3"/>
          </w:tcPr>
          <w:p>
            <w:pPr>
              <w:ind w:left="140"/>
              <w:spacing w:after="0"/>
              <w:rPr>
                <w:sz w:val="20"/>
                <w:szCs w:val="20"/>
                <w:color w:val="auto"/>
              </w:rPr>
            </w:pPr>
            <w:r>
              <w:rPr>
                <w:rFonts w:ascii="Arial" w:cs="Arial" w:eastAsia="Arial" w:hAnsi="Arial"/>
                <w:sz w:val="18"/>
                <w:szCs w:val="18"/>
                <w:color w:val="auto"/>
              </w:rPr>
              <w:t>Chief Medical Officer</w:t>
            </w:r>
          </w:p>
        </w:tc>
      </w:tr>
      <w:tr>
        <w:trPr>
          <w:trHeight w:val="284"/>
        </w:trPr>
        <w:tc>
          <w:tcPr>
            <w:tcW w:w="3060" w:type="dxa"/>
            <w:vAlign w:val="bottom"/>
            <w:gridSpan w:val="2"/>
          </w:tcPr>
          <w:p>
            <w:pPr>
              <w:spacing w:after="0"/>
              <w:rPr>
                <w:sz w:val="20"/>
                <w:szCs w:val="20"/>
                <w:color w:val="auto"/>
              </w:rPr>
            </w:pPr>
            <w:r>
              <w:rPr>
                <w:rFonts w:ascii="Arial" w:cs="Arial" w:eastAsia="Arial" w:hAnsi="Arial"/>
                <w:sz w:val="18"/>
                <w:szCs w:val="18"/>
                <w:color w:val="auto"/>
              </w:rPr>
              <w:t>Craig S. Gibbs, Ph.D.</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55</w:t>
            </w:r>
          </w:p>
        </w:tc>
        <w:tc>
          <w:tcPr>
            <w:tcW w:w="3580" w:type="dxa"/>
            <w:vAlign w:val="bottom"/>
            <w:gridSpan w:val="3"/>
          </w:tcPr>
          <w:p>
            <w:pPr>
              <w:ind w:left="140"/>
              <w:spacing w:after="0"/>
              <w:rPr>
                <w:sz w:val="20"/>
                <w:szCs w:val="20"/>
                <w:color w:val="auto"/>
              </w:rPr>
            </w:pPr>
            <w:r>
              <w:rPr>
                <w:rFonts w:ascii="Arial" w:cs="Arial" w:eastAsia="Arial" w:hAnsi="Arial"/>
                <w:sz w:val="18"/>
                <w:szCs w:val="18"/>
                <w:color w:val="auto"/>
              </w:rPr>
              <w:t>Chief Business Officer</w:t>
            </w:r>
          </w:p>
        </w:tc>
      </w:tr>
      <w:tr>
        <w:trPr>
          <w:trHeight w:val="32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84"/>
        </w:trPr>
        <w:tc>
          <w:tcPr>
            <w:tcW w:w="3060" w:type="dxa"/>
            <w:vAlign w:val="bottom"/>
            <w:gridSpan w:val="2"/>
          </w:tcPr>
          <w:p>
            <w:pPr>
              <w:spacing w:after="0"/>
              <w:rPr>
                <w:sz w:val="20"/>
                <w:szCs w:val="20"/>
                <w:color w:val="auto"/>
              </w:rPr>
            </w:pPr>
            <w:r>
              <w:rPr>
                <w:rFonts w:ascii="Arial" w:cs="Arial" w:eastAsia="Arial" w:hAnsi="Arial"/>
                <w:sz w:val="18"/>
                <w:szCs w:val="18"/>
                <w:color w:val="auto"/>
              </w:rPr>
              <w:t>Kristine M. Ball</w:t>
            </w:r>
            <w:r>
              <w:rPr>
                <w:rFonts w:ascii="Arial" w:cs="Arial" w:eastAsia="Arial" w:hAnsi="Arial"/>
                <w:sz w:val="15"/>
                <w:szCs w:val="15"/>
                <w:color w:val="auto"/>
              </w:rPr>
              <w:t>(1)</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46</w:t>
            </w:r>
          </w:p>
        </w:tc>
        <w:tc>
          <w:tcPr>
            <w:tcW w:w="35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84"/>
        </w:trPr>
        <w:tc>
          <w:tcPr>
            <w:tcW w:w="3060" w:type="dxa"/>
            <w:vAlign w:val="bottom"/>
            <w:gridSpan w:val="2"/>
          </w:tcPr>
          <w:p>
            <w:pPr>
              <w:spacing w:after="0"/>
              <w:rPr>
                <w:sz w:val="20"/>
                <w:szCs w:val="20"/>
                <w:color w:val="auto"/>
              </w:rPr>
            </w:pPr>
            <w:r>
              <w:rPr>
                <w:rFonts w:ascii="Arial" w:cs="Arial" w:eastAsia="Arial" w:hAnsi="Arial"/>
                <w:sz w:val="18"/>
                <w:szCs w:val="18"/>
                <w:color w:val="auto"/>
              </w:rPr>
              <w:t>Jeffrey W. Bird, M.D.</w:t>
            </w:r>
            <w:r>
              <w:rPr>
                <w:rFonts w:ascii="Arial" w:cs="Arial" w:eastAsia="Arial" w:hAnsi="Arial"/>
                <w:sz w:val="15"/>
                <w:szCs w:val="15"/>
                <w:color w:val="auto"/>
              </w:rPr>
              <w:t>(2)(3)</w:t>
            </w:r>
            <w:r>
              <w:rPr>
                <w:rFonts w:ascii="Arial" w:cs="Arial" w:eastAsia="Arial" w:hAnsi="Arial"/>
                <w:sz w:val="18"/>
                <w:szCs w:val="18"/>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57</w:t>
            </w:r>
          </w:p>
        </w:tc>
        <w:tc>
          <w:tcPr>
            <w:tcW w:w="35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84"/>
        </w:trPr>
        <w:tc>
          <w:tcPr>
            <w:tcW w:w="3060" w:type="dxa"/>
            <w:vAlign w:val="bottom"/>
            <w:gridSpan w:val="2"/>
          </w:tcPr>
          <w:p>
            <w:pPr>
              <w:spacing w:after="0"/>
              <w:rPr>
                <w:sz w:val="20"/>
                <w:szCs w:val="20"/>
                <w:color w:val="auto"/>
              </w:rPr>
            </w:pPr>
            <w:r>
              <w:rPr>
                <w:rFonts w:ascii="Arial" w:cs="Arial" w:eastAsia="Arial" w:hAnsi="Arial"/>
                <w:sz w:val="18"/>
                <w:szCs w:val="18"/>
                <w:color w:val="auto"/>
              </w:rPr>
              <w:t>Ian T. Clark</w:t>
            </w:r>
            <w:r>
              <w:rPr>
                <w:rFonts w:ascii="Arial" w:cs="Arial" w:eastAsia="Arial" w:hAnsi="Arial"/>
                <w:sz w:val="15"/>
                <w:szCs w:val="15"/>
                <w:color w:val="auto"/>
              </w:rPr>
              <w:t>(1)(3)</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57</w:t>
            </w:r>
          </w:p>
        </w:tc>
        <w:tc>
          <w:tcPr>
            <w:tcW w:w="35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84"/>
        </w:trPr>
        <w:tc>
          <w:tcPr>
            <w:tcW w:w="3060" w:type="dxa"/>
            <w:vAlign w:val="bottom"/>
            <w:gridSpan w:val="2"/>
          </w:tcPr>
          <w:p>
            <w:pPr>
              <w:spacing w:after="0"/>
              <w:rPr>
                <w:sz w:val="20"/>
                <w:szCs w:val="20"/>
                <w:color w:val="auto"/>
              </w:rPr>
            </w:pPr>
            <w:r>
              <w:rPr>
                <w:rFonts w:ascii="Arial" w:cs="Arial" w:eastAsia="Arial" w:hAnsi="Arial"/>
                <w:sz w:val="18"/>
                <w:szCs w:val="18"/>
                <w:color w:val="auto"/>
              </w:rPr>
              <w:t>Dennis J. Henner, Ph.D.</w:t>
            </w:r>
            <w:r>
              <w:rPr>
                <w:rFonts w:ascii="Arial" w:cs="Arial" w:eastAsia="Arial" w:hAnsi="Arial"/>
                <w:sz w:val="15"/>
                <w:szCs w:val="15"/>
                <w:color w:val="auto"/>
              </w:rPr>
              <w:t>(1)</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67</w:t>
            </w:r>
          </w:p>
        </w:tc>
        <w:tc>
          <w:tcPr>
            <w:tcW w:w="35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84"/>
        </w:trPr>
        <w:tc>
          <w:tcPr>
            <w:tcW w:w="3060" w:type="dxa"/>
            <w:vAlign w:val="bottom"/>
            <w:gridSpan w:val="2"/>
          </w:tcPr>
          <w:p>
            <w:pPr>
              <w:spacing w:after="0"/>
              <w:rPr>
                <w:sz w:val="20"/>
                <w:szCs w:val="20"/>
                <w:color w:val="auto"/>
              </w:rPr>
            </w:pPr>
            <w:r>
              <w:rPr>
                <w:rFonts w:ascii="Arial" w:cs="Arial" w:eastAsia="Arial" w:hAnsi="Arial"/>
                <w:sz w:val="18"/>
                <w:szCs w:val="18"/>
                <w:color w:val="auto"/>
              </w:rPr>
              <w:t>Ravindra Majeti, M.D.</w:t>
            </w:r>
            <w:r>
              <w:rPr>
                <w:rFonts w:ascii="Arial" w:cs="Arial" w:eastAsia="Arial" w:hAnsi="Arial"/>
                <w:sz w:val="15"/>
                <w:szCs w:val="15"/>
                <w:color w:val="auto"/>
              </w:rPr>
              <w:t>(2)</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45</w:t>
            </w:r>
          </w:p>
        </w:tc>
        <w:tc>
          <w:tcPr>
            <w:tcW w:w="35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84"/>
        </w:trPr>
        <w:tc>
          <w:tcPr>
            <w:tcW w:w="3060" w:type="dxa"/>
            <w:vAlign w:val="bottom"/>
            <w:gridSpan w:val="2"/>
          </w:tcPr>
          <w:p>
            <w:pPr>
              <w:spacing w:after="0"/>
              <w:rPr>
                <w:sz w:val="20"/>
                <w:szCs w:val="20"/>
                <w:color w:val="auto"/>
              </w:rPr>
            </w:pPr>
            <w:r>
              <w:rPr>
                <w:rFonts w:ascii="Arial" w:cs="Arial" w:eastAsia="Arial" w:hAnsi="Arial"/>
                <w:sz w:val="18"/>
                <w:szCs w:val="18"/>
                <w:color w:val="auto"/>
              </w:rPr>
              <w:t>Christopher J. Schaepe</w:t>
            </w:r>
            <w:r>
              <w:rPr>
                <w:rFonts w:ascii="Arial" w:cs="Arial" w:eastAsia="Arial" w:hAnsi="Arial"/>
                <w:sz w:val="15"/>
                <w:szCs w:val="15"/>
                <w:color w:val="auto"/>
              </w:rPr>
              <w:t>(2)(3)</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54</w:t>
            </w:r>
          </w:p>
        </w:tc>
        <w:tc>
          <w:tcPr>
            <w:tcW w:w="35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84"/>
        </w:trPr>
        <w:tc>
          <w:tcPr>
            <w:tcW w:w="3060" w:type="dxa"/>
            <w:vAlign w:val="bottom"/>
            <w:gridSpan w:val="2"/>
          </w:tcPr>
          <w:p>
            <w:pPr>
              <w:spacing w:after="0"/>
              <w:rPr>
                <w:sz w:val="20"/>
                <w:szCs w:val="20"/>
                <w:color w:val="auto"/>
              </w:rPr>
            </w:pPr>
            <w:r>
              <w:rPr>
                <w:rFonts w:ascii="Arial" w:cs="Arial" w:eastAsia="Arial" w:hAnsi="Arial"/>
                <w:sz w:val="18"/>
                <w:szCs w:val="18"/>
                <w:color w:val="auto"/>
              </w:rPr>
              <w:t>Irving L. Weissman, M.D.</w:t>
            </w:r>
            <w:r>
              <w:rPr>
                <w:rFonts w:ascii="Arial" w:cs="Arial" w:eastAsia="Arial" w:hAnsi="Arial"/>
                <w:sz w:val="15"/>
                <w:szCs w:val="15"/>
                <w:color w:val="auto"/>
              </w:rPr>
              <w:t>(3)</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78</w:t>
            </w:r>
          </w:p>
        </w:tc>
        <w:tc>
          <w:tcPr>
            <w:tcW w:w="35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0"/>
          <w:szCs w:val="20"/>
          <w:color w:val="auto"/>
        </w:rPr>
      </w:pPr>
    </w:p>
    <w:p>
      <w:pPr>
        <w:ind w:left="640" w:hanging="43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240" w:right="5740" w:hanging="36"/>
        <w:spacing w:after="0" w:line="261" w:lineRule="auto"/>
        <w:tabs>
          <w:tab w:leader="none" w:pos="6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 Lead Director</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i w:val="1"/>
          <w:iCs w:val="1"/>
          <w:color w:val="auto"/>
        </w:rPr>
        <w:t xml:space="preserve">Mark A. McCamish, M.D. </w:t>
      </w:r>
      <w:r>
        <w:rPr>
          <w:rFonts w:ascii="Arial" w:cs="Arial" w:eastAsia="Arial" w:hAnsi="Arial"/>
          <w:sz w:val="18"/>
          <w:szCs w:val="18"/>
          <w:color w:val="auto"/>
        </w:rPr>
        <w:t>has served as our President and Chief Executive Officer and as a member of our board of directors since May 2017.</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2009 to April 2017, Dr. McCamish served as Global Head of Biopharmaceutical Development at Sandoz Inc., a pharmaceutical company. He has over 25 years of experience in corporate management, clinical and pharmaceutical research and academics. Dr. McCamish received both a B.S. in Physical Education and an M.S. in Ergonomics from the University of California at Santa Barbara, a Ph.D. in Nutritional Sciences from the Pennsylvania State University and an M.D. from the University of California at Los Angeles. We believe Dr. McCamish’s experience in the industry, his role as our President and Chief Executive Officer and his knowledge of our company enable him to make valuable contributions to our board of directors.</w:t>
      </w:r>
    </w:p>
    <w:p>
      <w:pPr>
        <w:spacing w:after="0" w:line="189"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i w:val="1"/>
          <w:iCs w:val="1"/>
          <w:color w:val="auto"/>
        </w:rPr>
        <w:t>Ann D. Rhoads</w:t>
      </w:r>
      <w:r>
        <w:rPr>
          <w:rFonts w:ascii="Arial" w:cs="Arial" w:eastAsia="Arial" w:hAnsi="Arial"/>
          <w:sz w:val="17"/>
          <w:szCs w:val="17"/>
          <w:color w:val="auto"/>
        </w:rPr>
        <w:t>, has served as our Chief Financial Officer since March 2018. From January 2017 to March 2017, Ms. Rhoads was a consultant to</w:t>
      </w:r>
      <w:r>
        <w:rPr>
          <w:rFonts w:ascii="Arial" w:cs="Arial" w:eastAsia="Arial" w:hAnsi="Arial"/>
          <w:sz w:val="17"/>
          <w:szCs w:val="17"/>
          <w:i w:val="1"/>
          <w:iCs w:val="1"/>
          <w:color w:val="auto"/>
        </w:rPr>
        <w:t xml:space="preserve"> </w:t>
      </w:r>
      <w:r>
        <w:rPr>
          <w:rFonts w:ascii="Arial" w:cs="Arial" w:eastAsia="Arial" w:hAnsi="Arial"/>
          <w:sz w:val="17"/>
          <w:szCs w:val="17"/>
          <w:color w:val="auto"/>
        </w:rPr>
        <w:t>Zogenix, Inc., a pharmaceutical company. From March 2010 until January 2017, Ms. Rhoads served as the Chief Financial Officer, Executive Vice President, Secretary and Treasurer of Zogenix, where she was responsible for Zogenix’s financial strategy and all other duties of a Chief Financial Officer. From 2000 to 2009, she served as Chief Financial Officer of Premier Inc., a healthcare improvement company. From August 1998 to 2000, Ms. Rhoads served as Vice President, Strategic Initiatives at Premier, Inc. From 1993 to 1998, Ms. Rhoads served as Vice President of Sprout Group, a venture capital affiliate of Donaldson, Lufkin &amp; Jenrette (now part of Credit Suisse First Boston). Ms. Rhoads has served as a member of the board of directors of IRIDEX Corporation, a medical technology company, since 2017, where she is currently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a member of the audit committee, Evoke Pharma, Inc., a pharmaceutical company, since 2013, where she is currently chair of the audit committee, and Globus Medical, Inc., a musculoskeletal implant company, since 2011, where she is also chair of the audit committee. Ms. Rhoads also previously served on the board of directors of Novellus Systems, Inc., a semiconductor company, from 2003 until 2012. Ms. Rhoads received a B.S. in Business Administration in Finance from the University of Arkansas and an M.B.A. from Harvard Business School.</w:t>
      </w:r>
    </w:p>
    <w:p>
      <w:pPr>
        <w:spacing w:after="0" w:line="171"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i w:val="1"/>
          <w:iCs w:val="1"/>
          <w:color w:val="auto"/>
        </w:rPr>
        <w:t xml:space="preserve">Chris H. Takimoto, M.D. </w:t>
      </w:r>
      <w:r>
        <w:rPr>
          <w:rFonts w:ascii="Arial" w:cs="Arial" w:eastAsia="Arial" w:hAnsi="Arial"/>
          <w:sz w:val="16"/>
          <w:szCs w:val="16"/>
          <w:color w:val="auto"/>
        </w:rPr>
        <w:t>has served as our Chief Medical Officer since February 2016. From September 2010 to January 2016, Dr. Takimoto</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Vice President of Experimental Medicine Early Development in the Oncology Therapeutic area for Janssen Global Services, LLC, a pharmaceutical company. From 2008 to 2010, Dr. Takimoto served as Senior Director of Translational Medicine of Ortho Biotech Oncology Research and Development, a biotechnology company. He has over twenty years of experience in the industry and academia. Dr. Takimoto received a B.S. in Chemistry from Stanford University, a Ph.D. in Pharmacology from Yale University and an M.D. from Yale University School of Medicine.</w:t>
      </w:r>
    </w:p>
    <w:p>
      <w:pPr>
        <w:spacing w:after="0" w:line="158"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i w:val="1"/>
          <w:iCs w:val="1"/>
          <w:color w:val="auto"/>
        </w:rPr>
        <w:t xml:space="preserve">Craig S. Gibbs, Ph.D. </w:t>
      </w:r>
      <w:r>
        <w:rPr>
          <w:rFonts w:ascii="Arial" w:cs="Arial" w:eastAsia="Arial" w:hAnsi="Arial"/>
          <w:sz w:val="17"/>
          <w:szCs w:val="17"/>
          <w:color w:val="auto"/>
        </w:rPr>
        <w:t>has served as our Chief Business Officer since September 2015. Dr. Gibbs was an independent consultant from April 2013</w:t>
      </w:r>
      <w:r>
        <w:rPr>
          <w:rFonts w:ascii="Arial" w:cs="Arial" w:eastAsia="Arial" w:hAnsi="Arial"/>
          <w:sz w:val="17"/>
          <w:szCs w:val="17"/>
          <w:i w:val="1"/>
          <w:iCs w:val="1"/>
          <w:color w:val="auto"/>
        </w:rPr>
        <w:t xml:space="preserve"> </w:t>
      </w:r>
      <w:r>
        <w:rPr>
          <w:rFonts w:ascii="Arial" w:cs="Arial" w:eastAsia="Arial" w:hAnsi="Arial"/>
          <w:sz w:val="17"/>
          <w:szCs w:val="17"/>
          <w:color w:val="auto"/>
        </w:rPr>
        <w:t>to September 2015. From June 1992 to April 2013, Dr. Gibbs served in various positions at Gilead, including as Vice President of Commercial Strategy/Planning and Operations from 2007 to 2013 and as Senior Director, Corporate Development from 2004 to 2007, Senior Director, Biology Research from 1998 to 2004 and in other research and development positions from 1992 to 1998. Prior to his time at Gilead, Dr. Gibbs served from 1989 to 1992 as Visiting Post-doctoral Scientist at Genentech. Dr. Gibbs received a B.S. in Biochemistry from Massey University, an M.B.A. from Golden Gate University and a Ph.D. in Molecular Biology from the University of Glasgow.</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i w:val="1"/>
          <w:iCs w:val="1"/>
          <w:color w:val="auto"/>
        </w:rPr>
        <w:t xml:space="preserve">Kristine M. Ball </w:t>
      </w:r>
      <w:r>
        <w:rPr>
          <w:rFonts w:ascii="Arial" w:cs="Arial" w:eastAsia="Arial" w:hAnsi="Arial"/>
          <w:sz w:val="17"/>
          <w:szCs w:val="17"/>
          <w:color w:val="auto"/>
        </w:rPr>
        <w:t>has served as a member of our board of directors since February 2018. Since September 2017, she has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Corporate Strategy and Chief Financial Officer of Menlo Therapeutics, Inc., a biopharmaceutical company. From November 2012 to October 2016, Ms. Ball served as Chief Financial Officer and Senior Vice President of Relypsa, Inc., a publicly listed pharmaceutical company acquired by Galenica. From June 2011 to October 2012, Ms. Ball was an independent consultant advising start up life science companies on various strategic and operational business matters. From 2005 to 2011, Ms. Ball served as Senior Vice President of Finance and Administration and Chief Financial Officer of KAI Pharmaceuticals, Inc. (acquired by Amgen), a drug discovery company. From 2000 to 2005, Ms. Ball served as Vice President of Finance at Exelixis, Inc., a biotechnology company. Prior to Exelixis, Ms. Ball was a senior manager in Ernst &amp; Young’s life sciences audit practice. Ms. Ball received a B.S. from Babson College. We believe Ms. Ball’s experience in the pharmaceutical industry, her financial expertise and her executive experience at the public company level enable her to make valuable contributions to our board of directors.</w:t>
      </w:r>
    </w:p>
    <w:p>
      <w:pPr>
        <w:spacing w:after="0" w:line="182"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i w:val="1"/>
          <w:iCs w:val="1"/>
          <w:color w:val="auto"/>
        </w:rPr>
        <w:t xml:space="preserve">Jeffrey W. Bird, M.D. </w:t>
      </w:r>
      <w:r>
        <w:rPr>
          <w:rFonts w:ascii="Arial" w:cs="Arial" w:eastAsia="Arial" w:hAnsi="Arial"/>
          <w:sz w:val="18"/>
          <w:szCs w:val="18"/>
          <w:color w:val="auto"/>
        </w:rPr>
        <w:t>has served as a member of our board of directors since June 2015. Since July 2003, Dr. Bird has been a managing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Sutter Hill Ventures, a venture capital firm. Dr. Bird has served as a member of the board of directors of Restoration Robotics, Inc., a medical device company, since 2005, and Portola Pharmaceuticals, Inc., a pharmaceutical company, since 2003. Previously, Dr. Bird served on the board of directors of Threshold Pharmaceuticals, Inc. from 2008 to 2017 and of Horizon Pharma, Inc. from 2011 to 2014. Dr. Bird received a B.S. in Biological Sciences from Stanford University, a Ph.D. in Cancer Biology from Stanford University and an M.D. from Stanford Medical School. We believe Dr. Bird’s experience as an investor in and as a board member of biotechnology and life sciences companies enable him to make valuable contributions to our board of directors.</w:t>
      </w:r>
    </w:p>
    <w:p>
      <w:pPr>
        <w:spacing w:after="0" w:line="18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i w:val="1"/>
          <w:iCs w:val="1"/>
          <w:color w:val="auto"/>
        </w:rPr>
        <w:t xml:space="preserve">Ian T. Clark </w:t>
      </w:r>
      <w:r>
        <w:rPr>
          <w:rFonts w:ascii="Arial" w:cs="Arial" w:eastAsia="Arial" w:hAnsi="Arial"/>
          <w:sz w:val="18"/>
          <w:szCs w:val="18"/>
          <w:color w:val="auto"/>
        </w:rPr>
        <w:t>has served as a member of our board of directors since April 2018. Mr. Clark has been an Operating Partner at Clarus Ventures, LLC,</w:t>
      </w:r>
      <w:r>
        <w:rPr>
          <w:rFonts w:ascii="Arial" w:cs="Arial" w:eastAsia="Arial" w:hAnsi="Arial"/>
          <w:sz w:val="18"/>
          <w:szCs w:val="18"/>
          <w:i w:val="1"/>
          <w:iCs w:val="1"/>
          <w:color w:val="auto"/>
        </w:rPr>
        <w:t xml:space="preserve"> </w:t>
      </w:r>
      <w:r>
        <w:rPr>
          <w:rFonts w:ascii="Arial" w:cs="Arial" w:eastAsia="Arial" w:hAnsi="Arial"/>
          <w:sz w:val="18"/>
          <w:szCs w:val="18"/>
          <w:color w:val="auto"/>
        </w:rPr>
        <w:t>a venture capital firm, since September 2017. From 2003 to January 2017, Mr. Clark served in various positions at Genentech Inc., a biopharmaceutical company, including as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Chief Executive Officer of Genentech and head of North American Commercial Operations for Roche from 2010 to 2017, Head of Global Product Strategy and Chief Marketing Officer from 2009 to 2010, Executive Vice President, Commercial Operations from 2006 to 2009, and as Senior Vice President and General Manager, BioOncology from 2003 to 2006. Prior to 2003 he served in various positions of increasing seniority at Novartis, including as President of Novartis Canada. Mr. Clark has been Special Adviser to the Board at Immunocore Limited, a biotechnology company, since May 2017. He has served as a member of the board of directors of Agios Pharmaceuticals, Inc., since 2017, Corvus Pharmaceuticals, Inc., since 2017 and Shire plc, since 2017. From January 2017 until its acquisition by Gilead Sciences, Inc. in October 2017, Mr. Clark served as a member of the board of directors of Kite Pharma, Inc. From 2011 to 2017 Mr. Clark served as a member of the board of directors of TerraVia Holdings, Inc., a biotechnology company. Mr. Clark received a B.S. in Biological Sciences and an honorary Ph.D. in Biological Sciences from Southampton University. We believe Mr. Clark’s extensive experience in the industry enable him to make valuable contributions to our board of directors.</w:t>
      </w:r>
    </w:p>
    <w:p>
      <w:pPr>
        <w:spacing w:after="0" w:line="167"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i w:val="1"/>
          <w:iCs w:val="1"/>
          <w:color w:val="auto"/>
        </w:rPr>
        <w:t xml:space="preserve">Dennis J. Henner, Ph.D. </w:t>
      </w:r>
      <w:r>
        <w:rPr>
          <w:rFonts w:ascii="Arial" w:cs="Arial" w:eastAsia="Arial" w:hAnsi="Arial"/>
          <w:sz w:val="16"/>
          <w:szCs w:val="16"/>
          <w:color w:val="auto"/>
        </w:rPr>
        <w:t>has served as a member of our board of directors since November 2015. He is the Chief Scientific Advisor of Clarus</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LLC, a venture capital firm, where he served as Managing Director from the firm’s inception in March 2005 to January 2018. Prior to Clarus, Dr. Henner was a General Partner at MPM Capital, a healthcare venture capital firm. From 1981 to 2001, Dr. Henner was an executive at Genentech, where he held various positions including Senior Vice President of Research, and was a member of Genentech’s executive committee. Dr. Henner previously served as a member of the board of directors of Aerie Pharmaceuticals, Inc., a pharmaceutical company, from 2012 to 2015, and Humanigen, Inc., a pharmaceutical company, from 2012 to 2013. Dr. Henner received a Ph.D. in Microbiology from the University of Virginia and did postgraduate training at the Scripps Clinic and Research Foundation. We believe Dr. Henner’s experience in the pharmaceutical industry and his role in guiding numerous companies in his role as a venture capital investor enable him to make valuable contributions to our board of directors.</w:t>
      </w:r>
    </w:p>
    <w:p>
      <w:pPr>
        <w:spacing w:after="0" w:line="166"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i w:val="1"/>
          <w:iCs w:val="1"/>
          <w:color w:val="auto"/>
        </w:rPr>
        <w:t xml:space="preserve">Ravindra Majeti, M.D. </w:t>
      </w:r>
      <w:r>
        <w:rPr>
          <w:rFonts w:ascii="Arial" w:cs="Arial" w:eastAsia="Arial" w:hAnsi="Arial"/>
          <w:sz w:val="17"/>
          <w:szCs w:val="17"/>
          <w:color w:val="auto"/>
        </w:rPr>
        <w:t>co-founded our company and has served as a member of our board of directors since May 2015. Dr. Majeti served in</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positions at Stanford University, including as an Associate Professor in the Department of Medicine, Division of Hematology, since November 2015, and as an Assistant Professor in the Department of Medicine, Division of Hematology, from 2009 to November 2015. He received an A.B. in Biochemical Sciences from Harvard University, a Ph.D. and an M.D. from the University of California, San Francisco and completed a residency in internal medicine at Brigham and Women’s Hospital. Dr. Majeti completed a Fellowship in Hematology at Stanford University. We believe Dr. Majeti’s experience as a co-founder of our company and experience in developing 5F9 and the underlying scientific discoveries, his role on our board of directors and his knowledge of our company enable him to make valuable contributions to our board of directors.</w:t>
      </w:r>
    </w:p>
    <w:p>
      <w:pPr>
        <w:spacing w:after="0" w:line="178"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i w:val="1"/>
          <w:iCs w:val="1"/>
          <w:color w:val="auto"/>
        </w:rPr>
        <w:t xml:space="preserve">Christopher J. Schaepe </w:t>
      </w:r>
      <w:r>
        <w:rPr>
          <w:rFonts w:ascii="Arial" w:cs="Arial" w:eastAsia="Arial" w:hAnsi="Arial"/>
          <w:sz w:val="17"/>
          <w:szCs w:val="17"/>
          <w:color w:val="auto"/>
        </w:rPr>
        <w:t>has served on our board of directors since June 2015. He is a founder of Lightspeed Venture Partners, a venture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firm, and has served as a Partner since its inception in September 2000. Mr. Schaepe has over 26 years of venture capital experience and has served as a member of the board of directors of Tintri, Inc., a data storage company, since 2009 and Aerohive Networks, Inc., a wireless networking company, since 2006, and previously served as a member of the board of directors of Riverbed Technology, Inc. (acquired by Thoma Bravo, LLC in 2015), a technology company, from 2002 to 2015. He also serves as a member of the board of directors of a number of privately held companies, including Personalis, Inc., a bioinformatics company. He received B.S. and M.S. degrees in Electrical Engineering and Computer Science from the Massachusetts Institute of Technology and an M.B.A. from the Stanford Graduate School of Business. We believe Mr. Schaepe’s broad perspective and experience in the industry, his experience guiding numerous companies in his role as a venture capital investor and board member and his substantial professional experience enable him to make valuable contributions to our board of directors.</w:t>
      </w:r>
    </w:p>
    <w:p>
      <w:pPr>
        <w:spacing w:after="0" w:line="182"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i w:val="1"/>
          <w:iCs w:val="1"/>
          <w:color w:val="auto"/>
        </w:rPr>
        <w:t xml:space="preserve">Irving L. Weissman, M.D. </w:t>
      </w:r>
      <w:r>
        <w:rPr>
          <w:rFonts w:ascii="Arial" w:cs="Arial" w:eastAsia="Arial" w:hAnsi="Arial"/>
          <w:sz w:val="16"/>
          <w:szCs w:val="16"/>
          <w:color w:val="auto"/>
        </w:rPr>
        <w:t>co-founded our company and has served as a member of our board of directors since May 2015. Since 2003,</w:t>
      </w:r>
      <w:r>
        <w:rPr>
          <w:rFonts w:ascii="Arial" w:cs="Arial" w:eastAsia="Arial" w:hAnsi="Arial"/>
          <w:sz w:val="16"/>
          <w:szCs w:val="16"/>
          <w:i w:val="1"/>
          <w:iCs w:val="1"/>
          <w:color w:val="auto"/>
        </w:rPr>
        <w:t xml:space="preserve"> </w:t>
      </w:r>
      <w:r>
        <w:rPr>
          <w:rFonts w:ascii="Arial" w:cs="Arial" w:eastAsia="Arial" w:hAnsi="Arial"/>
          <w:sz w:val="16"/>
          <w:szCs w:val="16"/>
          <w:color w:val="auto"/>
        </w:rPr>
        <w:t>Dr. Weissman has served as the Director of the Stanford Institute for Stem Cell Biology and Regenerative Medicine and Director of the Stanford Ludwig Center for Cancer Stem Cell Research. Dr. Weissman was a member of the founding Scientific Advisory Boards of Amgen, a biotechnology company,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and T Cell Sciences, Inc., a biotechnology company. He also previously served as a member of the board of directors of StemCells, Inc., acquired by Microbot Medical Ltd. in 2016, a pharmaceutical company, from 1997 to 2016. He co-founded, served as a Director, and chaired the Scientific Advisory Board at SyStemix, Inc., a biotechnology company, StemCells, Inc., a biotechnology company, and Cellerant Therapeutics, Inc., a biotechnology company. Dr. Weissman is a member of the National Academy of Sciences, the National Academy of Medicine, and the American Association of Arts and Sciences. He received a B.S. from Montana State University and an M.D. from Stanford University School of Medicine. He has several honorary Ph.D.s. We believe Dr. Weissman’s experience in the study of cancer stem cells, including the discovery that all cancer stem cells express CD47, his role on our board and his knowledge of our company enable him to make valuable contributions to our board of directors.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Certain members of our board of directors were elected pursuant to the provisions of a voting agreement, as amended. Under the terms of this voting agreement, the stockholders who are party to the voting agreement have agreed to vote their respective shares so as to elect: (1) one director designated by Lightspeed Venture Partners X, L.P., currently Mr. Schaepe; (2) one director designated by Sutter Hill Ventures, currently Dr. Bird;</w:t>
      </w:r>
    </w:p>
    <w:p>
      <w:pPr>
        <w:jc w:val="both"/>
        <w:ind w:left="200" w:firstLine="4"/>
        <w:spacing w:after="0" w:line="252" w:lineRule="auto"/>
        <w:tabs>
          <w:tab w:leader="none" w:pos="4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 director designated by Clarus Lifesciences III, L.P., currently Dr. Henner; (4) one director designated by Hadley Harbor Master Investors (Cayman) II L.P., currently Mr. Clark; (5) three directors designated by Drs. Majeti, McCamish and Weissman and other common stockholders, currently Drs. Majeti, McCamish and Weissman; and one director designated by the holders of a majority of the shares held by the common stockholders and a majority of the preferred stockholders, voting together as a single class on an as converted basis, currently Ms. Ball. The voting agreement will terminate upon the closing of this offering and none of our stockholders will have any special rights regarding the election or designation of members of our board of directors.</w:t>
      </w:r>
    </w:p>
    <w:p>
      <w:pPr>
        <w:spacing w:after="0" w:line="194"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Our board of directors will consist of eight members upon the closing of this offering. In accordance with our amended and restated certificate of incorporation to be filed in connection with this offering, 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60" w:lineRule="exact"/>
        <w:rPr>
          <w:sz w:val="20"/>
          <w:szCs w:val="20"/>
          <w:color w:val="auto"/>
        </w:rPr>
      </w:pPr>
    </w:p>
    <w:p>
      <w:pPr>
        <w:ind w:left="106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 directors will be Dennis J. Henner and Ravindra Majeti and their terms will expire at the annual meeting of stockholders to be held in 2019;</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II directors will be Ian T. Clark, Jeffrey W. Bird and Christopher J. Schaepe and their terms will expire at the annual meeting of stockholders to be held in 2020; and</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III directors will be Kristine M. Ball, Mark A. McCamish and Irving L. Weissman and their terms will expire at the annual meeting of stockholders to be held in 2021.</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expect that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Under the listing requirements and rules of The Nasdaq Global Market, independent directors must comprise a majority of our board of directors as a listed company within one year of the closing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Drs. Bird, Henner, Majeti and Weissman, Ms. Ball, Mr. Clark and Mr. Schaepe do not have any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Global Market.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Lead Director</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corporate governance guidelines and bylaws provide that one of our independent directors shall serve as a lead independent director at any time when an independent director is not serving as the chairperson of the board of directors.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Effective as of the date the registration statement of which this prospectus forms a part is declared effective by the SEC, our audit committee will consist of Ms. Ball, Mr. Clark and Dr. Henner, each of whom our board of directors has determined satisfies the independence requirements under the applicable listing standards and Rule 10A-3(b)(1) of the Exchange Act. The chair of our audit committee is Ms. Ball,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95" w:lineRule="exact"/>
        <w:rPr>
          <w:sz w:val="20"/>
          <w:szCs w:val="20"/>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discussing with our management the adequacy and effectiveness of our disclosure controls and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assisting with design and implementation of our risk assessment functions;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registered public accounting firm and deciding whether to retain its services;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monitoring the rotation of partners of our independent registered public accounting firm on our engagement team as required by law;</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results;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an independent registered public accounting firm;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audit committee and adequacy of its charter.</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Effective as of the date the registration statement of which this prospectus forms a part is declared effective by the SEC, our compensation committee will consist of Dr. Bird, Dr. Majeti and Mr. Schaepe and the chair of our compensation committee will be Mr. Schaepe. Our board of directors has determined that each of Dr. Bird, Dr. Majeti and Mr. Schaepe is independent under the applicable listing standards, is a “non-employee director” as defined in Rule 16b-3 promulgated under the Exchange Act and is an “outside director” as that term is defined in Section 162(m) of the Internal Revenue Code of 1986, as amended, or Section 162(m). The functions of this committee include:</w:t>
      </w:r>
    </w:p>
    <w:p>
      <w:pPr>
        <w:spacing w:after="0" w:line="78" w:lineRule="exact"/>
        <w:rPr>
          <w:sz w:val="20"/>
          <w:szCs w:val="20"/>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modifying and overseeing overall compensation strategy and policies;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approving the compensation and other terms of employment of our chief executive officer, other executive officers and senior management, as appropriate;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and approving the compensation arrangements with our executive officers and other senior management, as appropriate;</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recommending to the full board of directors the compensation of our directors;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appointing and overseeing the work of compensation consultants, legal counsel or any other advisors and consultants engaged for the purpose of advising the compensation committee;</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adopting and administering equity award plans, compensation plans and similar programs, as well as modification or termination of plans and programs;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evaluating with the chief executive officer the succession plans for our executive officers;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compensation committee and the adequacy of its charter.</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Effective as of the date the registration statement of which this prospectus forms a part is declared effective by the SEC, our nominating and corporate governance committee consists of Mr. Clark, Dr. Bird, Dr. Weissman and Mr. Schaepe and the chair of our nominating and corporate governance committee will be Dr. Bird. Our board of directors has determined that Mr. Clark, Dr. Bird and Dr. Weissman are independent under the applicable listing standards. The functions of this committee include:</w:t>
      </w:r>
    </w:p>
    <w:p>
      <w:pPr>
        <w:spacing w:after="0" w:line="92" w:lineRule="exact"/>
        <w:rPr>
          <w:sz w:val="20"/>
          <w:szCs w:val="20"/>
          <w:color w:val="auto"/>
        </w:rPr>
      </w:pPr>
    </w:p>
    <w:p>
      <w:pPr>
        <w:ind w:left="1060" w:hanging="424"/>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periodically and evaluating director performance of our board of directors and its applicable committees, and recommending to our board of directors and management areas for improvement;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identifying, evaluating, nominating and recommending individuals for membership on our board of directors;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any amendments to our corporate governance policies; and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60" w:hanging="424"/>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nominating and corporate governance committee and the adequacy of its charter.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We have adopted a Code of Conduct that applies to all of our employees, officers (including our principal executive officer, principal financial officer and principal accounting officer or controller, or persons performing similar functions), agents and representatives, including directors and consultants. The full text of our Code of Conduct will be posted on our website at www.fortyseveninc.com.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identified above. The information contained in, or that can be accessed through, our website is not part of, and is not incorporated into, this prospectus.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officers or employees.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No cash compensation was paid to our non-employee directors in 2017 for their services as members of the board of directors. In June 2015, we entered into a consulting agreement with each of Dr. Majeti and Dr. Weissman, pursuant to which they are paid an annual consulting fee of $75,000 and $100,000, respectively, for providing input regarding our scientific and clinical development programs. Although we do not have a written policy, we generally reimburse our directors for their reasonable out-of-pocket expenses incurred in attending board of directors and committee meetings.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1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Kristine M. Ball joined our board of directors in February 2018 and in March 2018 was granted an option to purchase 69,677 shares of our common stock at an exercise price of $8.76 per share. The shares subject to the option will vest on a monthly basis for 48 consecutive months commencing on February 1, 2018, subject to Ms. Ball’s continuous service with us. In the event of a change in control (as defined in the 2015 Equity Incentive Plan), any unvested shares subject to this option will fully vest and become exercisable immediately prior to the effective date of such change in control, subject to Ms. Ball’s continuous service with us on the effective date of the change in control.</w:t>
      </w:r>
    </w:p>
    <w:p>
      <w:pPr>
        <w:spacing w:after="0" w:line="17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Ian T. Clark joined our board of directors in April 2018 and in May 2018 was granted an option to purchase 126,493 shares of our common stock at an exercise price of $8.76 per share. The shares subject to the option will vest on a monthly basis for 48 consecutive months commencing on April 28, 2018, subject to Mr. Clark’s continuous service with us. In the event of a change in control, any unvested shares subject to this option will fully vest and become exercisable immediately prior to the effective date of such change in control, subject to Mr. Clark’s continuous service with us on the effective date of the change in control.</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April 2018, each of Dr. Bird, Dr. Henner, Dr. Majeti, Mr. Schaepe and Dr. Weissman was granted an option to purchase 20,645 shares of our common stock at an exercise price of $8.76 per share. The shares subject to these options will vest on a monthly basis for 36 consecutive months commencing on the date of the closing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this offering, subject to each non-employee director’s respective continuous service with us. In the event of a change in control, any unvested shares subject to these options will fully vest and become exercisable immediately prior to the effective date of such change in control, subject to the non-employee director’s continuous service with us on the effective date of the change in control.</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have adopted a non-employee director compensation policy, pursuant to which our non-employee directors will be eligible to receive cash compensation for service on our board of directors and committees of our board of directors.</w:t>
      </w:r>
    </w:p>
    <w:p>
      <w:pPr>
        <w:spacing w:after="0" w:line="17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Commencing with the first calendar quarter following the closing of our initial public offering, each non-employee director will receive an annual cash retainer of $35,000 for serving on our board of directors.</w:t>
      </w:r>
    </w:p>
    <w:p>
      <w:pPr>
        <w:spacing w:after="0" w:line="17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lead director of our board of directors will be entitled to a cash retainer of $55,000 in lieu of the annual retainer received by other non-employee directors for serving as our lead director.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chairperson and members of the three committees of our board of directors will be entitled to the following additional annual cash retainers:</w:t>
      </w:r>
    </w:p>
    <w:p>
      <w:pPr>
        <w:spacing w:after="0" w:line="267"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Board Committee</w:t>
            </w:r>
          </w:p>
        </w:tc>
        <w:tc>
          <w:tcPr>
            <w:tcW w:w="2000" w:type="dxa"/>
            <w:vAlign w:val="bottom"/>
            <w:gridSpan w:val="3"/>
          </w:tcPr>
          <w:p>
            <w:pPr>
              <w:ind w:left="960"/>
              <w:spacing w:after="0"/>
              <w:rPr>
                <w:sz w:val="20"/>
                <w:szCs w:val="20"/>
                <w:color w:val="auto"/>
              </w:rPr>
            </w:pPr>
            <w:r>
              <w:rPr>
                <w:rFonts w:ascii="Arial" w:cs="Arial" w:eastAsia="Arial" w:hAnsi="Arial"/>
                <w:sz w:val="14"/>
                <w:szCs w:val="14"/>
                <w:b w:val="1"/>
                <w:bCs w:val="1"/>
                <w:color w:val="auto"/>
                <w:w w:val="92"/>
              </w:rPr>
              <w:t>Chairperson Fee</w:t>
            </w:r>
          </w:p>
        </w:tc>
        <w:tc>
          <w:tcPr>
            <w:tcW w:w="1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Member Fee</w:t>
            </w:r>
          </w:p>
        </w:tc>
      </w:tr>
      <w:tr>
        <w:trPr>
          <w:trHeight w:val="210"/>
        </w:trPr>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1"/>
              </w:rPr>
              <w:t>Audit Committee</w:t>
            </w:r>
          </w:p>
        </w:tc>
        <w:tc>
          <w:tcPr>
            <w:tcW w:w="35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All annual cash compensation amounts will be payable in equal quarterly installments in arrears, on the last day of each fiscal quarter for which the service occurred, pro-rated based on the days served in the applicable fiscal quarter.</w:t>
      </w:r>
    </w:p>
    <w:p>
      <w:pPr>
        <w:spacing w:after="0" w:line="170"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Each new non-employee director who joins our board of directors after our initial public offering will receive an option to purchase 20,645 shares of our common stock under our 2018 Equity Incentive Plan, or the 2018 Plan. The shares subject to this option will vest on a monthly basis over 36 months commencing on the grant date, subject to the non-employee director’s continuous service with us on each applicable vesting date.</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On the date of each annual meeting of our stockholders, each continuing non-employee director will receive an option to purchase 10,322 shares of our common stock under the 2018 Plan, vesting on the one-year anniversary of the grant date, subject to the non-employee director’s continuous service with us on the applicable vesting date.</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the event of a change of control (as defined in the 2018 Plan), any unvested shares subject to this option will fully vest and become exercisable immediately prior to the effective date of such change of control, subject to the non-employee director’s continuous service with us on the effective date of the change of control.</w:t>
      </w:r>
    </w:p>
    <w:p>
      <w:pPr>
        <w:spacing w:after="0" w:line="18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The exercise price per share of each stock option granted under the non-employee director compensation policy will be the closing price of our common stock as reported by The Nasdaq Global Market on the date of grant. Each stock option will have a term of ten years from the date of grant, subject to earlier termination in connection with a termination of the non-employee director’s continuous service with us.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named executive officers for the year ended December 31, 2017, consisting of our principal executive officer and the next two most highly compensated executive officers, were:</w:t>
      </w:r>
    </w:p>
    <w:p>
      <w:pPr>
        <w:spacing w:after="0" w:line="76" w:lineRule="exact"/>
        <w:rPr>
          <w:sz w:val="20"/>
          <w:szCs w:val="20"/>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Mark A. McCamish, M.D., our President and Chief Executive Officer;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Chris H. Takimoto, M.D., our Chief Medical Officer;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Craig S. Gibbs, Ph.D., our Chief Business Officer.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all of the compensation awarded to or earned by or paid to our named executive officers during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460" w:type="dxa"/>
            <w:vAlign w:val="bottom"/>
          </w:tcPr>
          <w:p>
            <w:pPr>
              <w:spacing w:after="0"/>
              <w:rPr>
                <w:sz w:val="14"/>
                <w:szCs w:val="14"/>
                <w:color w:val="auto"/>
              </w:rPr>
            </w:pPr>
          </w:p>
        </w:tc>
        <w:tc>
          <w:tcPr>
            <w:tcW w:w="6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Salary</w:t>
            </w:r>
          </w:p>
        </w:tc>
        <w:tc>
          <w:tcPr>
            <w:tcW w:w="460" w:type="dxa"/>
            <w:vAlign w:val="bottom"/>
          </w:tcPr>
          <w:p>
            <w:pPr>
              <w:spacing w:after="0"/>
              <w:rPr>
                <w:sz w:val="14"/>
                <w:szCs w:val="14"/>
                <w:color w:val="auto"/>
              </w:rPr>
            </w:pPr>
          </w:p>
        </w:tc>
        <w:tc>
          <w:tcPr>
            <w:tcW w:w="820" w:type="dxa"/>
            <w:vAlign w:val="bottom"/>
          </w:tcPr>
          <w:p>
            <w:pPr>
              <w:jc w:val="right"/>
              <w:ind w:right="122"/>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643"/>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88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60" w:type="dxa"/>
            <w:vAlign w:val="bottom"/>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ind w:right="42"/>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162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Compensation</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87"/>
              </w:rPr>
              <w:t>(2)(3)</w:t>
            </w: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McCamish, M.D.</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2017</w:t>
            </w:r>
          </w:p>
        </w:tc>
        <w:tc>
          <w:tcPr>
            <w:tcW w:w="4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$266,666</w:t>
            </w:r>
          </w:p>
        </w:tc>
        <w:tc>
          <w:tcPr>
            <w:tcW w:w="46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$3,378,384</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32,351</w:t>
            </w:r>
          </w:p>
        </w:tc>
        <w:tc>
          <w:tcPr>
            <w:tcW w:w="5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$3,677,401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President and Chief Executive Officer</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H. Takimoto, M.D.</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386,776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314,176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14,999</w:t>
            </w:r>
            <w:r>
              <w:rPr>
                <w:rFonts w:ascii="Arial" w:cs="Arial" w:eastAsia="Arial" w:hAnsi="Arial"/>
                <w:sz w:val="15"/>
                <w:szCs w:val="15"/>
                <w:color w:val="auto"/>
              </w:rPr>
              <w:t>(2)(4)</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715,951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Chief Medical Officer</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S. Gibbs, Ph.D.</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313,620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226,832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9,409</w:t>
            </w:r>
            <w:r>
              <w:rPr>
                <w:rFonts w:ascii="Arial" w:cs="Arial" w:eastAsia="Arial" w:hAnsi="Arial"/>
                <w:sz w:val="15"/>
                <w:szCs w:val="15"/>
                <w:color w:val="auto"/>
              </w:rPr>
              <w:t>(2)</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549,861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Chief Business Officer</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7" w:lineRule="exact"/>
        <w:rPr>
          <w:sz w:val="20"/>
          <w:szCs w:val="20"/>
          <w:color w:val="auto"/>
        </w:rPr>
      </w:pPr>
    </w:p>
    <w:p>
      <w:pPr>
        <w:jc w:val="both"/>
        <w:ind w:left="640" w:right="20" w:hanging="436"/>
        <w:spacing w:after="0" w:line="254"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reported represent the aggregate grant date fair value of stock options granted to our named executive officers during 2017 under our 2015 Equity Incentive Plan, computed in accordance with ASC Topic 718. Assumptions used in the calculation of these amounts are included in Note 3 to our financial statements included in this prospectus. Our named executive officers will only realize compensation to the extent the trading price of our common stock is greater than the exercise price of such stock options.</w:t>
      </w:r>
    </w:p>
    <w:p>
      <w:pPr>
        <w:spacing w:after="0" w:line="2" w:lineRule="exact"/>
        <w:rPr>
          <w:rFonts w:ascii="Arial" w:cs="Arial" w:eastAsia="Arial" w:hAnsi="Arial"/>
          <w:sz w:val="18"/>
          <w:szCs w:val="18"/>
          <w:color w:val="auto"/>
        </w:rPr>
      </w:pP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contributions by us to the named executive officer’s 401(k) plan account.</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$24,351 in reimbursement paid to Dr. McCamish for housing expenses.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$3,396 in reimbursement paid to Dr. Takimoto for moving and relocation expenses.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as of December 31,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information about outstanding equity awards held by each of our named executive officers at December 31, 2017.</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awards were granted under our 2015 Equity Incentive Plan.</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Stock Awards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center"/>
              <w:ind w:right="379"/>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79"/>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Stock</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1280" w:type="dxa"/>
            <w:vAlign w:val="bottom"/>
            <w:gridSpan w:val="2"/>
          </w:tcPr>
          <w:p>
            <w:pPr>
              <w:jc w:val="center"/>
              <w:ind w:right="379"/>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That</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Vesting</w:t>
            </w:r>
          </w:p>
        </w:tc>
        <w:tc>
          <w:tcPr>
            <w:tcW w:w="26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1280" w:type="dxa"/>
            <w:vAlign w:val="bottom"/>
            <w:gridSpan w:val="2"/>
          </w:tcPr>
          <w:p>
            <w:pPr>
              <w:jc w:val="center"/>
              <w:ind w:right="379"/>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7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Have</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Grant</w:t>
            </w: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0" w:type="dxa"/>
            <w:vAlign w:val="bottom"/>
          </w:tcPr>
          <w:p>
            <w:pPr>
              <w:spacing w:after="0"/>
              <w:rPr>
                <w:sz w:val="12"/>
                <w:szCs w:val="12"/>
                <w:color w:val="auto"/>
              </w:rPr>
            </w:pPr>
          </w:p>
        </w:tc>
        <w:tc>
          <w:tcPr>
            <w:tcW w:w="1280" w:type="dxa"/>
            <w:vAlign w:val="bottom"/>
            <w:gridSpan w:val="2"/>
          </w:tcPr>
          <w:p>
            <w:pPr>
              <w:jc w:val="center"/>
              <w:ind w:right="379"/>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vMerge w:val="continue"/>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Commencement</w:t>
            </w:r>
          </w:p>
        </w:tc>
        <w:tc>
          <w:tcPr>
            <w:tcW w:w="26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Options</w:t>
            </w:r>
          </w:p>
        </w:tc>
        <w:tc>
          <w:tcPr>
            <w:tcW w:w="1420" w:type="dxa"/>
            <w:vAlign w:val="bottom"/>
            <w:gridSpan w:val="3"/>
          </w:tcPr>
          <w:p>
            <w:pPr>
              <w:jc w:val="center"/>
              <w:ind w:right="239"/>
              <w:spacing w:after="0" w:line="149" w:lineRule="exact"/>
              <w:rPr>
                <w:sz w:val="20"/>
                <w:szCs w:val="20"/>
                <w:color w:val="auto"/>
              </w:rPr>
            </w:pPr>
            <w:r>
              <w:rPr>
                <w:rFonts w:ascii="Arial" w:cs="Arial" w:eastAsia="Arial" w:hAnsi="Arial"/>
                <w:sz w:val="14"/>
                <w:szCs w:val="14"/>
                <w:b w:val="1"/>
                <w:bCs w:val="1"/>
                <w:color w:val="auto"/>
                <w:w w:val="92"/>
              </w:rPr>
              <w:t>Unexercisable</w:t>
            </w:r>
          </w:p>
        </w:tc>
        <w:tc>
          <w:tcPr>
            <w:tcW w:w="90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Vested</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2400" w:type="dxa"/>
            <w:vAlign w:val="bottom"/>
            <w:gridSpan w:val="3"/>
            <w:vMerge w:val="continue"/>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Date</w:t>
            </w:r>
          </w:p>
        </w:tc>
        <w:tc>
          <w:tcPr>
            <w:tcW w:w="15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Exercisable (#)</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Vested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Mark</w:t>
            </w:r>
          </w:p>
        </w:tc>
        <w:tc>
          <w:tcPr>
            <w:tcW w:w="2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A. McCamish, M.D.</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06/08/2017</w:t>
            </w:r>
          </w:p>
        </w:tc>
        <w:tc>
          <w:tcPr>
            <w:tcW w:w="2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05/01/2017</w:t>
            </w:r>
          </w:p>
        </w:tc>
        <w:tc>
          <w:tcPr>
            <w:tcW w:w="2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483,870</w:t>
            </w:r>
          </w:p>
        </w:tc>
        <w:tc>
          <w:tcPr>
            <w:tcW w:w="4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w w:val="88"/>
              </w:rPr>
              <w:t>(1)(7)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4.88</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06/07/2027</w:t>
            </w:r>
          </w:p>
        </w:tc>
        <w:tc>
          <w:tcPr>
            <w:tcW w:w="2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06/08/2017</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05/01/2017</w:t>
            </w:r>
          </w:p>
        </w:tc>
        <w:tc>
          <w:tcPr>
            <w:tcW w:w="260" w:type="dxa"/>
            <w:vAlign w:val="bottom"/>
          </w:tcPr>
          <w:p>
            <w:pPr>
              <w:spacing w:after="0"/>
              <w:rPr>
                <w:sz w:val="12"/>
                <w:szCs w:val="12"/>
                <w:color w:val="auto"/>
              </w:rPr>
            </w:pP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80" w:type="dxa"/>
            <w:vAlign w:val="bottom"/>
            <w:gridSpan w:val="2"/>
          </w:tcPr>
          <w:p>
            <w:pPr>
              <w:jc w:val="right"/>
              <w:ind w:right="3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4.88</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06/07/2027</w:t>
            </w: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32,258</w:t>
            </w:r>
            <w:r>
              <w:rPr>
                <w:rFonts w:ascii="Arial" w:cs="Arial" w:eastAsia="Arial" w:hAnsi="Arial"/>
                <w:sz w:val="12"/>
                <w:szCs w:val="12"/>
                <w:color w:val="auto"/>
              </w:rPr>
              <w:t>(9)</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$ 170,000</w:t>
            </w: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08/15/2017</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08/15/2017</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161,578</w:t>
            </w:r>
            <w:r>
              <w:rPr>
                <w:rFonts w:ascii="Arial" w:cs="Arial" w:eastAsia="Arial" w:hAnsi="Arial"/>
                <w:sz w:val="12"/>
                <w:szCs w:val="12"/>
                <w:color w:val="auto"/>
              </w:rPr>
              <w:t>(2)(7)</w:t>
            </w: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08/14/2027</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11/28/2017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11/08/2017</w:t>
            </w:r>
          </w:p>
        </w:tc>
        <w:tc>
          <w:tcPr>
            <w:tcW w:w="1580" w:type="dxa"/>
            <w:vAlign w:val="bottom"/>
            <w:gridSpan w:val="3"/>
          </w:tcPr>
          <w:p>
            <w:pPr>
              <w:jc w:val="right"/>
              <w:ind w:right="120"/>
              <w:spacing w:after="0"/>
              <w:rPr>
                <w:sz w:val="20"/>
                <w:szCs w:val="20"/>
                <w:color w:val="auto"/>
              </w:rPr>
            </w:pPr>
            <w:r>
              <w:rPr>
                <w:rFonts w:ascii="Arial" w:cs="Arial" w:eastAsia="Arial" w:hAnsi="Arial"/>
                <w:sz w:val="14"/>
                <w:szCs w:val="14"/>
                <w:color w:val="auto"/>
              </w:rPr>
              <w:t>334,239</w:t>
            </w:r>
            <w:r>
              <w:rPr>
                <w:rFonts w:ascii="Arial" w:cs="Arial" w:eastAsia="Arial" w:hAnsi="Arial"/>
                <w:sz w:val="12"/>
                <w:szCs w:val="12"/>
                <w:color w:val="auto"/>
              </w:rPr>
              <w:t>(2)(7)</w:t>
            </w:r>
          </w:p>
        </w:tc>
        <w:tc>
          <w:tcPr>
            <w:tcW w:w="140" w:type="dxa"/>
            <w:vAlign w:val="bottom"/>
          </w:tcPr>
          <w:p>
            <w:pPr>
              <w:spacing w:after="0"/>
              <w:rPr>
                <w:sz w:val="15"/>
                <w:szCs w:val="15"/>
                <w:color w:val="auto"/>
              </w:rPr>
            </w:pPr>
          </w:p>
        </w:tc>
        <w:tc>
          <w:tcPr>
            <w:tcW w:w="1280" w:type="dxa"/>
            <w:vAlign w:val="bottom"/>
            <w:gridSpan w:val="2"/>
          </w:tcPr>
          <w:p>
            <w:pPr>
              <w:jc w:val="right"/>
              <w:ind w:right="3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5.27</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11/27/2027</w:t>
            </w:r>
          </w:p>
        </w:tc>
        <w:tc>
          <w:tcPr>
            <w:tcW w:w="2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Chris H. Takimoto, M.D.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02/26/2016</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02/08/2016</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167,741</w:t>
            </w:r>
            <w:r>
              <w:rPr>
                <w:rFonts w:ascii="Arial" w:cs="Arial" w:eastAsia="Arial" w:hAnsi="Arial"/>
                <w:sz w:val="12"/>
                <w:szCs w:val="12"/>
                <w:color w:val="auto"/>
              </w:rPr>
              <w:t>(3)(8)</w:t>
            </w: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59"/>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02/25/2026</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08/15/2017</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08/15/2017</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12,903</w:t>
            </w:r>
            <w:r>
              <w:rPr>
                <w:rFonts w:ascii="Arial" w:cs="Arial" w:eastAsia="Arial" w:hAnsi="Arial"/>
                <w:sz w:val="12"/>
                <w:szCs w:val="12"/>
                <w:color w:val="auto"/>
              </w:rPr>
              <w:t>(4)(8)</w:t>
            </w:r>
          </w:p>
        </w:tc>
        <w:tc>
          <w:tcPr>
            <w:tcW w:w="140" w:type="dxa"/>
            <w:vAlign w:val="bottom"/>
          </w:tcPr>
          <w:p>
            <w:pPr>
              <w:spacing w:after="0"/>
              <w:rPr>
                <w:sz w:val="12"/>
                <w:szCs w:val="12"/>
                <w:color w:val="auto"/>
              </w:rPr>
            </w:pPr>
          </w:p>
        </w:tc>
        <w:tc>
          <w:tcPr>
            <w:tcW w:w="1280" w:type="dxa"/>
            <w:vAlign w:val="bottom"/>
            <w:gridSpan w:val="2"/>
          </w:tcPr>
          <w:p>
            <w:pPr>
              <w:jc w:val="right"/>
              <w:ind w:right="3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4.88</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08/14/2027</w:t>
            </w:r>
          </w:p>
        </w:tc>
        <w:tc>
          <w:tcPr>
            <w:tcW w:w="2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11/28/2017</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11/08/2017</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77,418</w:t>
            </w:r>
            <w:r>
              <w:rPr>
                <w:rFonts w:ascii="Arial" w:cs="Arial" w:eastAsia="Arial" w:hAnsi="Arial"/>
                <w:sz w:val="12"/>
                <w:szCs w:val="12"/>
                <w:color w:val="auto"/>
              </w:rPr>
              <w:t>(4)(8)</w:t>
            </w: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11/27/2027</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Craig S. Gibbs, Ph.D.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01/22/2016</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09/14/2015</w:t>
            </w:r>
          </w:p>
        </w:tc>
        <w:tc>
          <w:tcPr>
            <w:tcW w:w="15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112,903</w:t>
            </w:r>
            <w:r>
              <w:rPr>
                <w:rFonts w:ascii="Arial" w:cs="Arial" w:eastAsia="Arial" w:hAnsi="Arial"/>
                <w:sz w:val="12"/>
                <w:szCs w:val="12"/>
                <w:color w:val="auto"/>
              </w:rPr>
              <w:t>(5)</w:t>
            </w:r>
          </w:p>
        </w:tc>
        <w:tc>
          <w:tcPr>
            <w:tcW w:w="140" w:type="dxa"/>
            <w:vAlign w:val="bottom"/>
          </w:tcPr>
          <w:p>
            <w:pPr>
              <w:spacing w:after="0"/>
              <w:rPr>
                <w:sz w:val="12"/>
                <w:szCs w:val="12"/>
                <w:color w:val="auto"/>
              </w:rPr>
            </w:pPr>
          </w:p>
        </w:tc>
        <w:tc>
          <w:tcPr>
            <w:tcW w:w="1280" w:type="dxa"/>
            <w:vAlign w:val="bottom"/>
            <w:gridSpan w:val="2"/>
          </w:tcPr>
          <w:p>
            <w:pPr>
              <w:jc w:val="right"/>
              <w:ind w:right="3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01/21/2026</w:t>
            </w:r>
          </w:p>
        </w:tc>
        <w:tc>
          <w:tcPr>
            <w:tcW w:w="2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11/28/2017</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11/08/2017</w:t>
            </w:r>
          </w:p>
        </w:tc>
        <w:tc>
          <w:tcPr>
            <w:tcW w:w="15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64,515</w:t>
            </w:r>
            <w:r>
              <w:rPr>
                <w:rFonts w:ascii="Arial" w:cs="Arial" w:eastAsia="Arial" w:hAnsi="Arial"/>
                <w:sz w:val="12"/>
                <w:szCs w:val="12"/>
                <w:color w:val="auto"/>
              </w:rPr>
              <w:t>(6)</w:t>
            </w: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11/27/2027</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0"/>
          <w:szCs w:val="20"/>
          <w:color w:val="auto"/>
        </w:rPr>
      </w:pPr>
    </w:p>
    <w:p>
      <w:pPr>
        <w:ind w:left="640" w:right="20" w:hanging="436"/>
        <w:spacing w:after="0" w:line="258"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will vest one year after the vesting commencement date and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will vest monthly thereafter.</w:t>
      </w:r>
    </w:p>
    <w:p>
      <w:pPr>
        <w:spacing w:after="0" w:line="1"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vest monthly measured from the vesting commencement date. As of December 31, 2017, 13,464 shares and 6,963 shares are vested, respectively.</w:t>
      </w:r>
    </w:p>
    <w:p>
      <w:pPr>
        <w:ind w:left="640" w:right="20" w:hanging="436"/>
        <w:spacing w:after="0" w:line="250"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will vest one year after the vesting commencement date and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will vest monthly thereafter. As of December 31, 2017, 76,880 shares are vested.</w:t>
      </w:r>
    </w:p>
    <w:p>
      <w:pPr>
        <w:ind w:left="640" w:right="20" w:hanging="436"/>
        <w:spacing w:after="0" w:line="250"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vest monthly measured from the vesting commencement date. As of December 31, 2017, 1,075 shares and 1,612 shares are vested, respectively.</w:t>
      </w:r>
    </w:p>
    <w:p>
      <w:pPr>
        <w:ind w:left="640" w:right="20" w:hanging="436"/>
        <w:spacing w:after="0" w:line="250"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will vest one year after the vesting commencement date and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will vest monthly thereafter. As of December 31, 2017, 14,112 shares are vested.</w:t>
      </w:r>
    </w:p>
    <w:p>
      <w:pPr>
        <w:ind w:left="640" w:right="20" w:hanging="436"/>
        <w:spacing w:after="0" w:line="250"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vest monthly measured from the vesting commencement date. As of December 31, 2017, 1,344 shares are vested.</w:t>
      </w:r>
    </w:p>
    <w:p>
      <w:pPr>
        <w:jc w:val="both"/>
        <w:ind w:left="640" w:right="20" w:hanging="436"/>
        <w:spacing w:after="0" w:line="250"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During the 12 months following a change in control, if (a) Dr. McCamish is involuntarily terminated without cause or (b) Dr. McCamish resigns for good reason and in either case, other than as a result of death or disability, and provided such termination constitutes a separation from service, without regard to any alternative definition thereunder), then the vesting and exercisability of the option shall be accelerated such that 100% of the total unvested shares under the option shall be vested.</w:t>
      </w:r>
    </w:p>
    <w:p>
      <w:pPr>
        <w:spacing w:after="0" w:line="1" w:lineRule="exact"/>
        <w:rPr>
          <w:rFonts w:ascii="Arial" w:cs="Arial" w:eastAsia="Arial" w:hAnsi="Arial"/>
          <w:sz w:val="18"/>
          <w:szCs w:val="18"/>
          <w:color w:val="auto"/>
        </w:rPr>
      </w:pPr>
    </w:p>
    <w:p>
      <w:pPr>
        <w:jc w:val="both"/>
        <w:ind w:left="640" w:right="20" w:hanging="436"/>
        <w:spacing w:after="0" w:line="265"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During the 12 months following a change in control and the three months preceding a change of control, if (a) Dr. Takimoto is involuntarily terminated without cause or (b) Dr. Takimoto resigns for good reason and in either case, other than as a result of death or disability, and provided such termination constitutes a separation from service, without regard to any alternative definition thereunder), then the vesting and exercisability of the option shall be accelerated such that 50% of the total unvested shares under the option shall be vested.</w:t>
      </w:r>
    </w:p>
    <w:p>
      <w:pPr>
        <w:jc w:val="both"/>
        <w:ind w:left="640" w:right="20" w:hanging="436"/>
        <w:spacing w:after="0" w:line="273"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shares were acquired pursuant to an early exercise provision and remain subject to our repurchase right in accordance with the vesting schedule of the options at the lower of fair market value or the exercise price of $4.88 per share. 1/4</w:t>
      </w:r>
      <w:r>
        <w:rPr>
          <w:rFonts w:ascii="Arial" w:cs="Arial" w:eastAsia="Arial" w:hAnsi="Arial"/>
          <w:sz w:val="14"/>
          <w:szCs w:val="14"/>
          <w:color w:val="auto"/>
        </w:rPr>
        <w:t>th</w:t>
      </w:r>
      <w:r>
        <w:rPr>
          <w:rFonts w:ascii="Arial" w:cs="Arial" w:eastAsia="Arial" w:hAnsi="Arial"/>
          <w:sz w:val="17"/>
          <w:szCs w:val="17"/>
          <w:color w:val="auto"/>
        </w:rPr>
        <w:t xml:space="preserve"> of the shares will vest one year after the vesting commencement date and 1/48</w:t>
      </w:r>
      <w:r>
        <w:rPr>
          <w:rFonts w:ascii="Arial" w:cs="Arial" w:eastAsia="Arial" w:hAnsi="Arial"/>
          <w:sz w:val="14"/>
          <w:szCs w:val="14"/>
          <w:color w:val="auto"/>
        </w:rPr>
        <w:t>th</w:t>
      </w:r>
      <w:r>
        <w:rPr>
          <w:rFonts w:ascii="Arial" w:cs="Arial" w:eastAsia="Arial" w:hAnsi="Arial"/>
          <w:sz w:val="17"/>
          <w:szCs w:val="17"/>
          <w:color w:val="auto"/>
        </w:rPr>
        <w:t xml:space="preserve"> of the shares subject to the option will vest monthly thereafter. During the 12 months following a change in control, if (a) Dr. McCamish is involuntarily terminated without cause or (b) Dr. McCamish resigns for</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good reason and in either case, other than as a result of death or disability, and provided such termination constitutes a separation from service, without regard to any alternative definition thereunder), then the vesting and exercisability of the shares shall be accelerated such that 100% of the total unvested shares shall be vested.</w:t>
      </w:r>
    </w:p>
    <w:p>
      <w:pPr>
        <w:ind w:left="200"/>
        <w:spacing w:after="0"/>
        <w:rPr>
          <w:sz w:val="20"/>
          <w:szCs w:val="20"/>
          <w:color w:val="auto"/>
        </w:rPr>
      </w:pPr>
      <w:r>
        <w:rPr>
          <w:rFonts w:ascii="Arial" w:cs="Arial" w:eastAsia="Arial" w:hAnsi="Arial"/>
          <w:sz w:val="18"/>
          <w:szCs w:val="18"/>
          <w:color w:val="auto"/>
        </w:rPr>
        <w:t>(10)  Based on an estimated fair market value of $5.27 per share as of December 31, 2017.</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during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Annual Bonus Plan</w:t>
      </w:r>
    </w:p>
    <w:p>
      <w:pPr>
        <w:spacing w:after="0" w:line="121"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Our compensation committee adopted our Forty Seven, Inc. 2018 Annual Bonus Plan, or 2018 Bonus Plan, which provides for a cash bonus for our officers, including our Named Executive Officers. Under our 2018 Bonus Plan, the board of directors determined the individual and corporate performance goals applicable to any award for 2018. Each eligible participant has an opportunity to earn an annual payment based on achievement of these individual and corporate performance goals. Performance goals for individuals are assessed on a case by case basis. Individuals are eligible for a merit-based bonus in an amount set based on employment grade, which is then multiplied by a percentage, up to 100%, based on achievement of corporate performance goals. This is then eligible for a discretionary adjustment, up to 150%, based on individual performance.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have offer letters with each of our executive officers. The offer letters generally provide for at-will employment and set forth the executive officer’s initial base salary, eligibility for employee benefits and confirmation of the terms of previously issued equity grants, including in some cases severance benefits on a qualifying termination of employment. In addition, each of our executive officers has executed our standard proprietary information and inventions agreement. The key terms of employment with our named executive officers are described below. See “Executive Compensation—Outstanding Equity Awards as of December 31, 2017” for information on outstanding options as of December 31, 2017 for our named executive officers.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Mark A. McCamish, M.D.</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In November 2016, we entered into an offer letter with Dr. McCamish, our President and Chief Executive Officer. Pursuant to the offer letter, Dr. McCamish’s initial base salary was established at $400,000 per year. In addition, Dr. McCamish was initially eligible to receive an annual cash bonus of up to 40% of his annual base salary based upon achievement of mutually agreed upon performance objectives and other criteria determined by our board of directors. He is entitled to reimbursement for up to $30,000 per year for commuting and living expenses in connection with his work at our headquarters.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April 2018, Dr. McCamish was granted an option to purchase 184,516 shares at an exercise price of $8.76 per share. Provided that the registration statement, of which this prospectus forms a part, is declared effective or a change in control occurs prior to March 1, 2019, the shares subject to this option will vest on a monthly basis for 48 consecutive months commencing on March 1, 2019, subject to Dr. McCamish’s continuous service with us.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Ann D. Rhoads</w:t>
      </w:r>
    </w:p>
    <w:p>
      <w:pPr>
        <w:spacing w:after="0" w:line="117"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In March 2018, we entered into an offer letter with Ms. Rhoads, our Chief Financial Officer. Pursuant to the offer letter, Ms. Rhoads’ initial base salary was established at $350,000 per year. Ms. Rhoads also received a one-time retention bonus of $40,000 subject to proration until the completion of 12 months of employment. Ms. Rhoads is entitled to reimbursement for up to $36,000 per year for travel expenses in connection with her work at our headquarters. In April 2018, Ms. Rhoads was granted (i) an option to purchase 141,097 shares of our common stock, at an exercise price of $8.76 per share, vesting as to 26,710 shares on the one-year anniversary of her employment commencement date and the remaining shares will vest thereafter on a monthly basis for 36 consecutive months, and (ii) an option to purchase 11,418 shares of our common stock, at an exercise price of $8.76 per share, vesting in full one year after her employment commencement date, in each case subject to Ms. Rhoads’ continuous service with us.</w:t>
      </w:r>
    </w:p>
    <w:p>
      <w:pPr>
        <w:spacing w:after="0" w:line="16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 April 2018, Ms. Rhoads was granted an additional option to purchase 74,838 shares at an exercise price of $8.76 per share. Provided that the registration statement, of which this prospectus forms a part is declared effective or a change in control occurs prior to March 1, 2019, the shares subject to this option will vest on a monthly basis for 48 consecutive months commencing on March 1, 2019, subject to Ms. Rhoads’ continuous service with us.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Chris H. Takimoto, M.D.</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January 2016, we entered into an employment agreement with Dr. Takimoto, our Chief Medical Officer. Pursuant to the employment agreement, Dr. Takimoto’s initial base salary was established at $375,000 per year.</w:t>
      </w:r>
    </w:p>
    <w:p>
      <w:pPr>
        <w:spacing w:after="0" w:line="170"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 April 2018, Dr. Takimoto was granted an option to purchase 56,128 shares at an exercise price of $8.76 per share. Provided that the registration statement, of which this prospectus forms a part is declared effective or a change in control occurs prior to March 1, 2019, the shares subject to this option will vest on a monthly basis for 48 consecutive months commencing on March 1, 2019, subject to Dr. Takimoto’s continuous service with us.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Craig S. Gibbs, Ph.D.</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August 2015, we entered into an offer letter with Dr. Gibbs, our Chief Business Officer. Pursuant to the offer letter, Dr. Gibbs’ initial base salary was established at $300,000 per year. Dr. Gibbs’ base salary for 2017 is $313,620 per year.</w:t>
      </w:r>
    </w:p>
    <w:p>
      <w:pPr>
        <w:spacing w:after="0" w:line="170"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 April 2018, Dr. Gibbs was granted an option to purchase 72,902 shares at an exercise price of $8.76 per share. Provided that the registration statement, of which this prospectus forms a part is declared effective or a change in control occurs prior to March 1, 2019, the shares subject to this option will vest on a monthly basis for 48 consecutive months commencing on March 1, 2019, subject to Dr. Gibbs’ continuous service with us.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Executive Severance and Change in Control Plan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April 2018, the compensation committee of our board of directors adopted an Executive Severance and Change in Control Plan that provides severance benefits to each of our executive officers and vice presidents, including our named executive officers. The benefits provided under the Executive Severance and Change in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Control Plan supersede any similar severance benefits described in a participant’s offer letter or employment agreement. Participants in our Executive Severance and Change in Control Plan will be entitled to receive a lump sum cash payment (12 months base salary for our Chief Executive Officer, nine months base salary for our executive officers or six months base salary for all other participants) upon an involuntary termination without cause. In addition, in the event that such termination occurs, or the participant resigns for good reason, in connection with or within 12 months following a change in control, the participant will be entitled to receive a lump sum cash payment (18 months base salary for our Chief Executive Officer, 12 months base salary for our executive officers or nine months base salary for all other participants) and any unvested portion of an equity award granted to participant will fully vest and become exercisable immediately prior to the effective date of such change in control, subject to participant’s continuous service with us. Participants are further eligible to receive a pro-rated portion of their target annual bonus for the calendar year in which the termination occurs and continued health benefits during the applicable severance period. All such severance benefits are subject to the participant signing a general release of all known and unknown claims in substantially the form provided in the Executive Severance and Change in Control Plan.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and our 401(k) plan are summarized below. These summaries are qualified in their entirety by reference to the actual text of the plans, which, other than the 401(k) plan, are filed as exhibits to the registration statement of which this prospectus is a part.</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Our board of directors adopted and our stockholders approved our 2018 Plan in June 2018. Our 2018 Plan provides for the grant of incentive stock options to our employees and for the grant of nonstatutory stock options, stock appreciation rights, restricted stock awards, restricted stock unit awards, performance stock awards, performance cash awards and other forms of equity compensation to our employees, directors and consultants.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Authorized Shares</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We have initially reserved 3,000,000 shares of common stock for issuance under the 2018 Plan. In addition, the number of shares of common stock reserved for issuance under our 2018 Plan will automatically increase on the first day of January for a period of up to ten years, commencing on January 1, 2019, in an amount equal to 5% of the total number of shares of our capital stock outstanding on the last day of the preceding year, or a lesser number of shares determined by our board of directors. The maximum number of shares of common stock that may be issued upon the exercise of incentive stock options under our 2018 Plan is equal to the number of shares reserved under the 2018 Plan multiplied by three.</w:t>
      </w:r>
    </w:p>
    <w:p>
      <w:pPr>
        <w:spacing w:after="0" w:line="158"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Shares subject to stock awards granted under our 2018 Plan that expire or terminate without being exercised in full, or that are paid out in cash rather than in shares, do not reduce the number of shares available for issuance under our 2018 Plan. Additionally, shares issued pursuant to stock awards under our 2018 Plan that we repurchase or that are forfeited, as well as shares used to pay the exercise price of a stock award or to satisfy the tax withholding obligations related to a stock award, become available for future grant under our 2018 Plan.</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Plan Administration</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board of directors, or a duly authorized committee of our board of directors, will administer our 2018 Plan. Our board of directors may also delegate to one or more of our officers the authority to (1) designate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employees (other than officers) to receive specified stock awards and (2) determine the number of shares subject to such stock awards. Under the 2018 Plan, our board of directors has the authority to determine the terms of awards, including recipients, the exercise, purchase or strike price of stock awards, if any, the number of shares subject to each stock award, the fair market value of a share of common stock, the vesting schedule applicable to the awards, together with any vesting acceleration, the form of consideration, if any, payable upon exercise or settlement of the award and the terms of the award agreements.</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board of directors may also modify outstanding awards under our 2018 Plan, with the consent of any adversely affected participant. The board of directors has the authority to reprice any outstanding option or stock appreciation right,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Incentive stock options and nonstatutory stock options are granted pursuant to stock option agreements adopted by the plan administrator. The plan administrator determines the exercise price for stock options, within the terms and conditions of the 2018 Plan, provided that the exercise price of a stock option generally cannot be less than 100% of the fair market value of common stock on the date of grant. Options granted under the 2018 Plan vest at the rate specified by the plan administrator.</w:t>
      </w:r>
    </w:p>
    <w:p>
      <w:pPr>
        <w:spacing w:after="0" w:line="187"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The plan administrator determines the term of stock options granted under the 2018 Plan, up to a maximum of ten years. Unless the terms of an option holder’s stock option agreement provide otherwise, if an option holder’s service relationship with us, or any of our affiliates, ceases for any reason other than disability, death or cause, the option holder may generally exercise any vested options for a period of three months following the option holder’s cessation of service. The option term may be extended in the event that exercise of the option or sale of the underlying shares following such a termination of service is prohibited by applicable securities laws or by our insider trading policy. If an option holder’s service relationship with us or any of our affiliates ceases due to disability or death, or an option holder dies within a certain period following cessation of service, the option holder or a beneficiary may generally exercise any vested options for a period of 12 months in the event of disability and 18 months in the event of death. Options generally terminate immediately upon the termination of the individual for cause. In no event may an option be exercised beyond the expiration of its term.</w:t>
      </w:r>
    </w:p>
    <w:p>
      <w:pPr>
        <w:spacing w:after="0" w:line="19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plan administrator will determine acceptable consideration for the purchase of common stock issued upon the exercise of a stock option, which may include the following methods: (1) cash, check, bank draft or money order; (2) a broker-assisted cashless exercise procedure; (3) the tender of shares of common stock previously owned by the option holder; (4) if the option is a nonstatutory stock option, by a net exercise arrangement; and (5) other legal consideration set forth in the applicable award agreement.</w:t>
      </w:r>
    </w:p>
    <w:p>
      <w:pPr>
        <w:spacing w:after="0" w:line="187"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In general, options are not transferable except by will, the laws of descent and distribution, or as otherwise provided by the plan administrator under our 2018 Plan. An option holder may designate a beneficiary, however, who may exercise the option following the option holder’s death.</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Tax Limitations on Incentive Stock Options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The aggregate fair market value, determined at the time of grant, of common stock with respect to incentive stock options that are exercisable for the first time by an option holder during any calendar year under all of our stock plans may not exceed $100,000. Options or portions thereof that exceed such limit will generally be treated as nonstatutory stock options. No incentive stock option may be granted to any person who, at the time of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incentive stock option does not exceed five years from the date of grant.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Restricted Stock Unit Awards</w:t>
      </w:r>
    </w:p>
    <w:p>
      <w:pPr>
        <w:spacing w:after="0" w:line="117"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Restricted stock unit awards are granted pursuant to restricted stock unit award agreements adopted by the plan 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Restricted Stock Awards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Restricted stock awards are granted pursuant to restricted stock award agreements adopted by the plan administrator. A restricted stock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through a forfeiture condition or a repurchase right any or all of the shares of common stock held by the participant that have not vested as of the date the participant terminates service with us.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Stock appreciation rights are granted pursuant to stock appreciation grant agreements adopted by the plan administrator. The plan administrator determines the purchase price or strike price for a stock appreciation right, which generally cannot be less than 100% of the fair market value of common stock on the date of grant. Upon the exercise of a stock appreciation right, we will pay the participant an amount equal to the product of (1) the excess, if any, of the per share fair market value of common stock on the date of exercise over the purchase price or strike price and (2) the number of shares of common stock with respect to which the stock appreciation right is exercised. This amount may be paid in shares of common stock, in cash, in any combination of cash and shares of common stock or in any other form of consideration, as determined by the plan administrator and set forth in the award agreement. A stock appreciation right granted under the 2018 Plan vests at the rate specified in the stock appreciation right agreement as determined by the plan administrator.</w:t>
      </w:r>
    </w:p>
    <w:p>
      <w:pPr>
        <w:spacing w:after="0" w:line="192"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color w:val="auto"/>
        </w:rPr>
        <w:t>The plan administrator determines the term of stock appreciation rights granted under the 2018 Plan, which may be up to a maximum of ten years. Unless the terms of a participant’s stock appreciation right agreement provides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term of the stock appreciation right may be further extended in the event that exercise of the stock appreciation right following such a termination of service is prohibited by applicable securities laws or by our insider trading policy. If a participant’s service relationship with us, or any of our affiliates, ceases due to disability or death, or a participant dies within a certain period following cessation of service, the participant (or, if applicable, a beneficiary) may generally exercise any vested stock appreciation right for a period of 12 months (in the case of disability) or 18 months (in the case of death). Stock appreciation rights generally terminate immediately upon the occurrence of the event giving rise to the termination of the individual for cause. In no event may a stock appreciation right be exercised beyond the expiration of its term.</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 Awards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2018 Plan permits the grant of performance-based stock and cash awards. Our compensation committee may structure awards so that the stock or cash will be issued or paid only following the achievement of certain pre-established performance goals during a designated performance period.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Our compensation committee may establish performance goals by selecting from one or more of the following performance criteria: (1) earnings (including earnings per share and net earnings); (2) earnings before interest, taxes and depreciation; (3) earnings before interest, taxes, depreciation and amortization; (4) total stockholder return; (5) return on equity or average stockholder’s equity; (6) return on assets, investment or capital employed;</w:t>
      </w:r>
    </w:p>
    <w:p>
      <w:pPr>
        <w:ind w:left="480" w:hanging="276"/>
        <w:spacing w:after="0"/>
        <w:tabs>
          <w:tab w:leader="none" w:pos="4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stock price; (8) margin (including gross margin); (9) income (before or after taxes); (10) operating income; (11) operating income after taxes;</w:t>
      </w:r>
    </w:p>
    <w:p>
      <w:pPr>
        <w:spacing w:after="0" w:line="20" w:lineRule="exact"/>
        <w:rPr>
          <w:rFonts w:ascii="Arial" w:cs="Arial" w:eastAsia="Arial" w:hAnsi="Arial"/>
          <w:sz w:val="17"/>
          <w:szCs w:val="17"/>
          <w:color w:val="auto"/>
        </w:rPr>
      </w:pPr>
    </w:p>
    <w:p>
      <w:pPr>
        <w:jc w:val="both"/>
        <w:ind w:left="200" w:firstLine="4"/>
        <w:spacing w:after="0" w:line="281" w:lineRule="auto"/>
        <w:tabs>
          <w:tab w:leader="none" w:pos="572"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pre-tax profit; (13) operating cash flow; (14) sales or revenue targets; (15) increases in revenue or product revenue; (16) expenses and cost reduction goals; (17) improvement in or attainment of working capital levels; (18) economic value added (or an equivalent metric); (19) market share;</w:t>
      </w:r>
    </w:p>
    <w:p>
      <w:pPr>
        <w:spacing w:after="0" w:line="1" w:lineRule="exact"/>
        <w:rPr>
          <w:rFonts w:ascii="Arial" w:cs="Arial" w:eastAsia="Arial" w:hAnsi="Arial"/>
          <w:sz w:val="16"/>
          <w:szCs w:val="16"/>
          <w:color w:val="auto"/>
        </w:rPr>
      </w:pPr>
    </w:p>
    <w:p>
      <w:pPr>
        <w:ind w:left="560" w:hanging="356"/>
        <w:spacing w:after="0"/>
        <w:tabs>
          <w:tab w:leader="none" w:pos="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cash flow; (21) cash flow per share; (22) share price performance; (23) debt reduction; (24) implementation or completion of projects or processes;</w:t>
      </w:r>
    </w:p>
    <w:p>
      <w:pPr>
        <w:spacing w:after="0" w:line="32" w:lineRule="exact"/>
        <w:rPr>
          <w:rFonts w:ascii="Arial" w:cs="Arial" w:eastAsia="Arial" w:hAnsi="Arial"/>
          <w:sz w:val="16"/>
          <w:szCs w:val="16"/>
          <w:color w:val="auto"/>
        </w:rPr>
      </w:pPr>
    </w:p>
    <w:p>
      <w:pPr>
        <w:ind w:left="600" w:hanging="396"/>
        <w:spacing w:after="0"/>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subscriber satisfaction; (26) stockholders’ equity; (27) capital expenditures; (28) debt levels; (29) operating profit or net operating profit;</w:t>
      </w:r>
    </w:p>
    <w:p>
      <w:pPr>
        <w:spacing w:after="0" w:line="20" w:lineRule="exact"/>
        <w:rPr>
          <w:rFonts w:ascii="Arial" w:cs="Arial" w:eastAsia="Arial" w:hAnsi="Arial"/>
          <w:sz w:val="17"/>
          <w:szCs w:val="17"/>
          <w:color w:val="auto"/>
        </w:rPr>
      </w:pPr>
    </w:p>
    <w:p>
      <w:pPr>
        <w:ind w:left="200" w:firstLine="4"/>
        <w:spacing w:after="0" w:line="261" w:lineRule="auto"/>
        <w:tabs>
          <w:tab w:leader="none" w:pos="56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workforce diversity; (31) growth of net income or operating income; (32) billings; (33) the number of subscribers including but not limited to unique subscribers; (34) employee retention; and (35) other measures of performance selected by our board of directors.</w:t>
      </w:r>
    </w:p>
    <w:p>
      <w:pPr>
        <w:spacing w:after="0" w:line="184"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Our board of directors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otherwise specified by our board of directors (i) in the award agreement at the time the award is granted or (ii) in such other document setting forth the performance goals at the time the performance goals are established, our board of directors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items that are “unusual” in nature or occur “infrequently” as determined under generally accepted accounting principles; (5) to exclude the dilutive effects of acquisitions or joint ventures; (6) to assume that any business divested by us achieved performance objectives at targeted levels during the balance of a performance period following such divestiture; (7)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(8) to exclude the effects of stock-based compensation and the award of bonuses under our bonus plans; (9) to exclude costs incurred in connection with potential acquisitions or divestitures that are required to be expensed under generally accepted accounting principles; and (10) to exclude the goodwill and intangible asset impairment charges that are required to be recorded under generally accepted accounting principles.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Stock Awards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plan administrator may grant other awards based in whole or in part by reference to common stock. The plan administrator will set the number of shares under the stock award and all other terms and conditions of such awards.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Changes to Capital Structure</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In the event there is a specified type of change in our capital structure, such as a stock split, reverse stock split, or recapitalization, appropriate adjustments will be made to (1) the class and maximum number of shares reserved for issuance under the 2018 Plan, (2) the class and maximum number of shares by which the share reserve may increase automatically each year, (3) the class and maximum number of shares that may be issued upon the exercise of incentive stock options, and (4) the class and number of shares and exercise price, strike price, or purchase price, if applicable, of all outstanding stock awards.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Corporate Transactions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2018 Plan provides that in the event of certain specified significant corporate transactions, including: (1) a sale of all or substantially all of our assets, (2) the sale or disposition of more than 50% of our outstanding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84" w:lineRule="auto"/>
        <w:rPr>
          <w:sz w:val="20"/>
          <w:szCs w:val="20"/>
          <w:color w:val="auto"/>
        </w:rPr>
      </w:pPr>
      <w:r>
        <w:rPr>
          <w:rFonts w:ascii="Arial" w:cs="Arial" w:eastAsia="Arial" w:hAnsi="Arial"/>
          <w:sz w:val="16"/>
          <w:szCs w:val="16"/>
          <w:color w:val="auto"/>
        </w:rPr>
        <w:t>securities, (3) the consummation of a merger or consolidation where we do not survive the transaction and (4) the consummation of a merger or consolidation where we do survive the transaction but the shares of common stock outstanding prior to such transaction are converted or exchanged into other property by virtue of the transaction, each outstanding award will be treated as the administrator determines unless otherwise provided in an award agreement or other written agreement between us and the award holder. The administrator may (1) arrange for the assumption, continuation or substitution of a stock award by a successor corporation; (2) arrange for the assignment of any reacquisition or repurchase rights held by us to a successor corporation; (3) accelerate the vesting, in whole or in part, of the stock award and provide for its termination prior to the transaction;</w:t>
      </w:r>
    </w:p>
    <w:p>
      <w:pPr>
        <w:spacing w:after="0" w:line="5" w:lineRule="exact"/>
        <w:rPr>
          <w:sz w:val="20"/>
          <w:szCs w:val="20"/>
          <w:color w:val="auto"/>
        </w:rPr>
      </w:pPr>
    </w:p>
    <w:p>
      <w:pPr>
        <w:jc w:val="both"/>
        <w:ind w:left="200" w:firstLine="4"/>
        <w:spacing w:after="0" w:line="271" w:lineRule="auto"/>
        <w:tabs>
          <w:tab w:leader="none" w:pos="461" w:val="left"/>
        </w:tabs>
        <w:numPr>
          <w:ilvl w:val="0"/>
          <w:numId w:val="77"/>
        </w:numPr>
        <w:rPr>
          <w:rFonts w:ascii="Arial" w:cs="Arial" w:eastAsia="Arial" w:hAnsi="Arial"/>
          <w:sz w:val="17"/>
          <w:szCs w:val="17"/>
          <w:color w:val="auto"/>
        </w:rPr>
      </w:pPr>
      <w:r>
        <w:rPr>
          <w:rFonts w:ascii="Arial" w:cs="Arial" w:eastAsia="Arial" w:hAnsi="Arial"/>
          <w:sz w:val="17"/>
          <w:szCs w:val="17"/>
          <w:color w:val="auto"/>
        </w:rPr>
        <w:t>arrange for the lapse, in whole or in part, of any reacquisition or repurchase rights held by us; (5) cancel or arrange for the cancellation of the stock award prior to the transaction in exchange for a cash payment, if any, determined by the board; or (6) make a payment, in the form determined by the board, equal to the excess, if any, of the value of the property the participant would have received upon exercise of the awards prior to the transaction over any exercise price payable by the participant in connection with the exercise. The plan administrator is not obligated to treat all stock awards or portions of stock awards, even those that are of the same type, in the same manner.</w:t>
      </w:r>
    </w:p>
    <w:p>
      <w:pPr>
        <w:spacing w:after="0" w:line="179"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In the event of a change in control, awards granted under the 2018 Plan will not receive automatic acceleration of vesting and exercisability, although this treatment may be provided for in an award agreement. Under the 2018 Plan, a change in control is defined to include (1) the acquisition of any person of more than 50% of the combined voting power of our then outstanding stock; (2) a merger, consolidation or similar transaction in which our stockholders immediately prior to the transaction do not own, directly or indirectly, more than 50% of the combined voting power of the surviving entity (or the parent of the surviving entity); (3) a sale, lease, exclusive license or other disposition of all or substantially all of our assets to an entity that did not previously hold more than 50% of the voting power over our capital stock and (4) individuals who constitute our incumbent board of directors ceasing to constitute at least a majority of our board of directors.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Transferability</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board of directors may provide for limitations on the transferability of awards, in its sole discretion. Option awards are generally not transferable other than by will, the laws of descent and distribution or as otherwise provided under our 2018 Plan.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Plan Amendment or Termination</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Our board of directors has the authority to amend, suspend, or terminate our 2018 Plan, provided that such action does not materially impair the existing rights of any participant without such participant’s written consent. No incentive stock options may be granted after the tenth anniversary of the date our board of directors adopted our 2018 Plan. No stock awards may be granted under our 2018 Plan while it is suspended or after it is terminated.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Our board of directors adopted our 2015 Equity Incentive Plan, or 2015 Plan, in May 2015 and our stockholders approved the 2015 Plan in November 2015. Our 2015 Plan was amended most recently in April 2018. Our 2015 Plan allows for the grant of incentive stock options to employees, including employees of any parent or subsidiary, and for the grant of nonstatutory stock options, stock appreciation rights, restricted stock awards, restricted stock unit awards and other stock awards to employees, directors and consultants, including employees and consultants of our affiliates.</w:t>
      </w:r>
    </w:p>
    <w:p>
      <w:pPr>
        <w:spacing w:after="0" w:line="154"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2018 Plan will become effective on the execution of the underwriting agreement related to this offering. As a result, we will not grant any additional awards under the 2015 Plan following that date. Any awards granted under the 2015 Plan will remain subject to the terms of our 2015 Plan and applicable award agreements.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Authorized Shares</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maximum number of shares of common stock that may be issued under our 2015 Plan is 4,719,992. Shares subject to stock awards granted under our 2015 Plan that expire, are forfeited, or terminate without being issued in full or are settled in cash do not reduce the number of shares available for issuance under our 2015 Plan. Additionally, shares used to pay the exercise price of a stock award or to satisfy the tax withholding obligations related to a stock award become available for future grant under our 2015 Plan.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Plan Administration</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Our board of directors or a duly authorized committee of our board of directors administers our 2015 Plan and the stock awards granted under it. Our board of directors may also delegate to one or more of our officers the authority to (1) designate non-officer employees to receive specified stock awards and (2) determine the number of shares subject to such stock awards. Under our 2015 Plan, the board of directors has the authority to determine and amend the terms of awards and underlying agreements, including: recipients; the exercise, purchase or strike price of stock awards, if any; the number of shares subject to each stock award; the vesting schedule applicable to the awards, together with any vesting acceleration; and the form of consideration, if any, payable on exercise or settlement of the award.</w:t>
      </w:r>
    </w:p>
    <w:p>
      <w:pPr>
        <w:spacing w:after="0" w:line="178"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Under the 2015 Plan, the board of directors also generally has the authority to effect, with the consent of any adversely affected participant: the reduction of the exercise price of any outstanding equity award; the cancellation of any outstanding equity award and the grant in substitution therefore of other awards, cash, or other consideration; or any other action that is treated as a repricing under generally accepted accounting principles.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Corporate Transactions</w:t>
      </w:r>
    </w:p>
    <w:p>
      <w:pPr>
        <w:spacing w:after="0" w:line="117" w:lineRule="exact"/>
        <w:rPr>
          <w:sz w:val="20"/>
          <w:szCs w:val="20"/>
          <w:color w:val="auto"/>
        </w:rPr>
      </w:pPr>
    </w:p>
    <w:p>
      <w:pPr>
        <w:jc w:val="both"/>
        <w:ind w:left="200" w:firstLine="441"/>
        <w:spacing w:after="0" w:line="284" w:lineRule="auto"/>
        <w:rPr>
          <w:sz w:val="20"/>
          <w:szCs w:val="20"/>
          <w:color w:val="auto"/>
        </w:rPr>
      </w:pPr>
      <w:r>
        <w:rPr>
          <w:rFonts w:ascii="Arial" w:cs="Arial" w:eastAsia="Arial" w:hAnsi="Arial"/>
          <w:sz w:val="16"/>
          <w:szCs w:val="16"/>
          <w:color w:val="auto"/>
        </w:rPr>
        <w:t>Our 2015 Plan provides that in the event of certain specified significant corporate transactions, generally including: (1) a sale of all or substantially all of our assets, (2) the sale or disposition of at least 90% of our outstanding securities, (3) the consummation of a merger or consolidation where we do not survive the transaction, and (4) the consummation of a merger or consolidation where we do survive the transaction but the shares of common stock outstanding before such transaction are converted or exchanged into other property by virtue of the transaction, unless otherwise provided in an award agreement or other written agreement between us and the award holder, the administrator may take one or more of the following actions with respect to such stock awards: (1) arrange for the assumption, continuation or substitution of a stock award by a successor corporation,</w:t>
      </w:r>
    </w:p>
    <w:p>
      <w:pPr>
        <w:spacing w:after="0" w:line="5" w:lineRule="exact"/>
        <w:rPr>
          <w:sz w:val="20"/>
          <w:szCs w:val="20"/>
          <w:color w:val="auto"/>
        </w:rPr>
      </w:pPr>
    </w:p>
    <w:p>
      <w:pPr>
        <w:jc w:val="both"/>
        <w:ind w:left="200" w:firstLine="4"/>
        <w:spacing w:after="0" w:line="269" w:lineRule="auto"/>
        <w:tabs>
          <w:tab w:leader="none" w:pos="475" w:val="left"/>
        </w:tabs>
        <w:numPr>
          <w:ilvl w:val="0"/>
          <w:numId w:val="78"/>
        </w:numPr>
        <w:rPr>
          <w:rFonts w:ascii="Arial" w:cs="Arial" w:eastAsia="Arial" w:hAnsi="Arial"/>
          <w:sz w:val="17"/>
          <w:szCs w:val="17"/>
          <w:color w:val="auto"/>
        </w:rPr>
      </w:pPr>
      <w:r>
        <w:rPr>
          <w:rFonts w:ascii="Arial" w:cs="Arial" w:eastAsia="Arial" w:hAnsi="Arial"/>
          <w:sz w:val="17"/>
          <w:szCs w:val="17"/>
          <w:color w:val="auto"/>
        </w:rPr>
        <w:t>arrange for the assignment of any reacquisition or repurchase rights held by us to a successor corporation (or the successor corporation’s parent company), (3) accelerate the vesting, in whole or in part, of the stock award and provide for its termination before the transaction, (4) arrange for the lapse, in whole or in part, of any reacquisition or repurchase rights held by us, (5) cancel or arrange for the cancellation of the stock award before the transaction in exchange for a cash payment, if any, as determined by the board of directors in its sole discretion, or (6) make a payment, in the form determined by the board of directors, equal to the excess, if any, of the value of the property the participant would have received on exercise of the stock award before the transaction over any exercise price payable by the participant in connection with the exercise. The plan administrator is not obligated to treat all stock awards, even those that are of the same type, or all participants, in the same manner.</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the event of a change in control, awards granted under the 2015 Plan will not receive automatic acceleration of vesting and exercisability, although the board of directors may provide for this treatment in an award agreement. Under the 2015 Plan, a change in control is defined to include</w:t>
      </w:r>
    </w:p>
    <w:p>
      <w:pPr>
        <w:jc w:val="both"/>
        <w:ind w:left="200" w:firstLine="4"/>
        <w:spacing w:after="0" w:line="255" w:lineRule="auto"/>
        <w:tabs>
          <w:tab w:leader="none" w:pos="46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acquisition by any person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entity), (3) our stockholders approve or our board of directors approves a plan of complete dissolution or liquidation or a complete dissolution or liquidation otherwise occurs except for a liquidation into a parent corporation, (4) a sale, lease, exclusive license or other disposition of all or substantially all of the assets to an entity that did not previously hold more than 50% of the voting power of our stock and (5) individuals who constitute our incumbent board of directors ceasing to constitute at least a majority of our board of directors.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Transferability</w:t>
      </w:r>
    </w:p>
    <w:p>
      <w:pPr>
        <w:spacing w:after="0" w:line="117"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Under our 2015 Plan, the board of directors may provide for limitations on the transferability of awards, in its sole discretion. Option awards are generally not transferable other than by will or the laws of descent and distribution, except as otherwise provided under our 2015 Plan.</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Plan Amendment or Termination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board of directors has the authority to amend, suspend, or terminate our 2015 Plan, although certain material amendments require the approval of our stockholders, and amendments that would impair the rights of any participant require the consent of that participant. No stock awards may be granted under our 2015 Plan after it is terminated.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Our board of directors adopted our 2018 Employee Stock Purchase Plan, or the ESPP, in June 2018, and our stockholders approved our ESPP in June 2018. The ESPP will become effective upon the execution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 for U.S. employees. In addition, the ESPP authorizes grants of purchase rights that do not comply with Section 423 of the Code under a separate non-423 component. In particular, where such purchase rights are granted to any employees who are foreign nationals or employed or located outside the United States, our board of directors may adopt rules that are beyond the scope of Section 423 of the Code.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Following this offering, the ESPP authorizes the issuance of shares of common stock under purchase rights granted to our employees or to employees of any of our designated affiliates. The number of shares of common stock reserved for issuance will automatically increase on January 1st of each year, beginning on January 1, 2019 (assuming the ESPP becomes effective in 2018) through January 1, 2028, by the lesser of (1) 1% of the total number of shares of common stock outstanding on the last day of the calendar month before the date of the automatic increase, and (2) 450,000 shares; provided that before the date of any such increase, our board of directors may determine that such increase will be less than the amount set forth in clauses (1) and (2). As of the date hereof, no shares of common stock have been purchased under the ESPP.</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Our board of directors has delegated its authority to administer the ESPP to our compensation committee. The ESPP is implemented through a series of offerings under which eligible employees are granted purchase rights to purchase shares of common stock on specified dates during such offerings. Under the ESPP, we may specify offerings with durations of not more than 27 months, and may specify shorter purchase periods within each offering. Each offering will have one or more purchase dates on which shares of common stock will be purchased for employees participating in the offering. We currently intend to have six month offerings with one purchase period per offering, except that the first purchase period under our first offering may be longer than six months, depending on the date on which the underwriting agreement relating to this offering becomes effective. An offering under the ESPP may be terminated under certain circumstances.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Payroll Deduction</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Generally, all regular employees, including executive officers, employed by us or by any of our designated affiliates, may participate in the ESPP and may contribute, normally through payroll deductions, up to 15% of their earnings (as defined in the ESPP) for the purchase of common stock under the ESPP. Unless otherwise determined by our board of directors, common stock will be purchased for the accounts of employees participating in the ESPP at a price per share that is at least the lesser of (1) 85% of the fair market value of a share of common stock on the first date of an offering, or</w:t>
      </w:r>
    </w:p>
    <w:p>
      <w:pPr>
        <w:spacing w:after="0" w:line="2" w:lineRule="exact"/>
        <w:rPr>
          <w:sz w:val="20"/>
          <w:szCs w:val="20"/>
          <w:color w:val="auto"/>
        </w:rPr>
      </w:pPr>
    </w:p>
    <w:p>
      <w:pPr>
        <w:jc w:val="both"/>
        <w:ind w:left="200" w:firstLine="4"/>
        <w:spacing w:after="0" w:line="255" w:lineRule="auto"/>
        <w:tabs>
          <w:tab w:leader="none" w:pos="466" w:val="left"/>
        </w:tabs>
        <w:numPr>
          <w:ilvl w:val="0"/>
          <w:numId w:val="80"/>
        </w:numPr>
        <w:rPr>
          <w:rFonts w:ascii="Arial" w:cs="Arial" w:eastAsia="Arial" w:hAnsi="Arial"/>
          <w:sz w:val="18"/>
          <w:szCs w:val="18"/>
          <w:color w:val="auto"/>
        </w:rPr>
      </w:pPr>
      <w:r>
        <w:rPr>
          <w:rFonts w:ascii="Arial" w:cs="Arial" w:eastAsia="Arial" w:hAnsi="Arial"/>
          <w:sz w:val="18"/>
          <w:szCs w:val="18"/>
          <w:color w:val="auto"/>
        </w:rPr>
        <w:t>85% of the fair market value of a share of common stock on the date of purchase. For the initial offering, which we expect will commence on the execution and delivery of the underwriting agreement relating to this offering, the fair market value on the first day of the offering period will be the price at which shares of common stock are first sold to the public.</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Limitations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Employees may have to satisfy one or more of the following service requirements before participating in the ESPP, as determined by our 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common stock based on the fair market value per share of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Changes to Capital Structure</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Corporate Transactions</w:t>
      </w:r>
    </w:p>
    <w:p>
      <w:pPr>
        <w:spacing w:after="0" w:line="117"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In the event of certain significant corporate transactions, including: (1) a sale of all or substantially all of our assets, (2) the sale or disposition of more than 50% of our outstanding securities, (3) the consummation of a merger or consolidation where we do not survive the transaction, and (4) the consummation of a merger or consolidation where we do survive the transaction but the shares of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common stock within ten business days before such corporate transaction, and such purchase rights will terminate immediately.</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ESPP Amendment or Termination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board of directors has the authority to amend or terminate our ESPP, provided that except in certain 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pay premiums for medical insurance, dental insurance and vision insurance for all full-time employees, including our named executive officers. These benefits are available to all full-time employees, subject to applicable laws.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We maintain a defined contribution retirement plan that provides eligible U.S. employees with an opportunity to save for retirement on a tax advantaged basis. Eligible employees may defer eligible compensation on a pre-tax, or after-tax, basis, up to the statutorily prescribed annual limits on contributions under the Code. Contributions are allocated to each participant’s individual account and are then invested in selected investment alternatives according to the participants’ directions. Employees are immediately and fully vested in their contributions. The 401(k) plan is intended to be qualified under Section 401(a) of the Code with the 401(k) plan’s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 Pursuant to our 401(k) plan, during 2017, we made 100% matching contributions on up to 3% of an employee’s eligible compensation deferred.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allow us to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1" w:lineRule="exact"/>
        <w:rPr>
          <w:sz w:val="20"/>
          <w:szCs w:val="20"/>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Our amended and restated certificate of incorporation will provide us with the authority to, and our amended and restated bylaws will provide that we are required to, indemnify our directors and executive officers to the fullest extent permitted by Delaware law. Our amended and restated bylaws will also provide that, upon satisfaction of certain conditions, we shall advance expenses incurred by a director or executive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certificate of incorporation and amended and restated bylaws will also provide our board of directors with discretion to indemnify our other officers and employees when determined appropriate by our board of directors.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 things, attorneys’ fees, judgments, fines and settlement amounts incurred by any of these individuals in any action or proceeding.</w:t>
      </w:r>
    </w:p>
    <w:p>
      <w:pPr>
        <w:spacing w:after="0" w:line="17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believe that these bylaw provisions and indemnification agreements are necessary to attract and retain qualified persons as directors and officers. We also maintain directors’ and officers’ liability insurance.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10b5-1 Sales Plans</w:t>
      </w:r>
    </w:p>
    <w:p>
      <w:pPr>
        <w:spacing w:after="0" w:line="121"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the end of the 180th day after the date of this offering (subject to potential early release or termination without notice), the sale of any shares under such plan would be subject to the lock-up agreement that the director or executive officer has entered into with Morgan Stanley &amp; Co. LLC and Credit Suisse Securities (USA) LLC on behalf of the underwriters.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The following is a summary of transactions since January 1, 2015,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the sections titled “Executive Compensation” and “Management—Non-Employee Director Compensation.”</w:t>
      </w:r>
    </w:p>
    <w:p>
      <w:pPr>
        <w:spacing w:after="0" w:line="17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Convertible Note Financing</w:t>
      </w:r>
    </w:p>
    <w:p>
      <w:pPr>
        <w:spacing w:after="0" w:line="121"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color w:val="auto"/>
        </w:rPr>
        <w:t>From June 2015 through November 2015, we issued and sold convertible promissory notes in the aggregate principal amount of $900,000. The convertible promissory notes accrued interest at a rate of 5% per annum. In November 2015, the aggregate principal amount of the convertible promissory notes and accrued interest totaling approximately $909,349 were converted into 117,328 shares of Series A-1 preferred stock at a conversion price of $7.75. The following table summarizes the convertible promissory notes issued to holders of more than five percent of our capital stock and their affiliated entities and our directors. None of our executive officers were issued convertible promissory notes.</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Name of Stockholder</w:t>
            </w:r>
          </w:p>
        </w:tc>
        <w:tc>
          <w:tcPr>
            <w:tcW w:w="4060" w:type="dxa"/>
            <w:vAlign w:val="bottom"/>
            <w:gridSpan w:val="3"/>
          </w:tcPr>
          <w:p>
            <w:pPr>
              <w:ind w:left="3140"/>
              <w:spacing w:after="0"/>
              <w:rPr>
                <w:sz w:val="20"/>
                <w:szCs w:val="20"/>
                <w:color w:val="auto"/>
              </w:rPr>
            </w:pPr>
            <w:r>
              <w:rPr>
                <w:rFonts w:ascii="Arial" w:cs="Arial" w:eastAsia="Arial" w:hAnsi="Arial"/>
                <w:sz w:val="14"/>
                <w:szCs w:val="14"/>
                <w:b w:val="1"/>
                <w:bCs w:val="1"/>
                <w:color w:val="auto"/>
                <w:w w:val="99"/>
              </w:rPr>
              <w:t>Loan Amount</w:t>
            </w:r>
          </w:p>
        </w:tc>
      </w:tr>
      <w:tr>
        <w:trPr>
          <w:trHeight w:val="210"/>
        </w:trPr>
        <w:tc>
          <w:tcPr>
            <w:tcW w:w="20" w:type="dxa"/>
            <w:vAlign w:val="bottom"/>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Entities affiliated</w:t>
            </w: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Lightspeed Venture Partners</w:t>
            </w:r>
            <w:r>
              <w:rPr>
                <w:rFonts w:ascii="Arial" w:cs="Arial" w:eastAsia="Arial" w:hAnsi="Arial"/>
                <w:sz w:val="15"/>
                <w:szCs w:val="15"/>
                <w:color w:val="auto"/>
              </w:rPr>
              <w:t>(1)</w:t>
            </w:r>
          </w:p>
        </w:tc>
        <w:tc>
          <w:tcPr>
            <w:tcW w:w="3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450,000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Sutter Hill Ventures</w:t>
            </w:r>
            <w:r>
              <w:rPr>
                <w:rFonts w:ascii="Arial" w:cs="Arial" w:eastAsia="Arial" w:hAnsi="Arial"/>
                <w:sz w:val="15"/>
                <w:szCs w:val="15"/>
                <w:color w:val="auto"/>
              </w:rPr>
              <w:t>(2)</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7" w:lineRule="exact"/>
        <w:rPr>
          <w:sz w:val="20"/>
          <w:szCs w:val="20"/>
          <w:color w:val="auto"/>
        </w:rPr>
      </w:pPr>
    </w:p>
    <w:p>
      <w:pPr>
        <w:jc w:val="both"/>
        <w:ind w:left="640" w:right="20" w:hanging="436"/>
        <w:spacing w:after="0" w:line="254"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convertible promissory notes purchased by Lightspeed Venture Partners X, L.P. and Lightspeed Affiliates X, L.P. Mr. Schaepe, a member of our board of directors, is a partner of Lightspeed General Partner X, L.P., the general partner of Lightspeed Venture Partners X, L.P. and Lightspeed Affiliates X, L.P., and a director of Lightspeed Ultimate General Partner X, Ltd., the general partner of Lightspeed General Partner X, L.P..</w:t>
      </w:r>
    </w:p>
    <w:p>
      <w:pPr>
        <w:spacing w:after="0" w:line="2" w:lineRule="exact"/>
        <w:rPr>
          <w:rFonts w:ascii="Arial" w:cs="Arial" w:eastAsia="Arial" w:hAnsi="Arial"/>
          <w:sz w:val="18"/>
          <w:szCs w:val="18"/>
          <w:color w:val="auto"/>
        </w:rPr>
      </w:pPr>
    </w:p>
    <w:p>
      <w:pPr>
        <w:ind w:left="640" w:right="20" w:hanging="436"/>
        <w:spacing w:after="0" w:line="261"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Dr. Bird, a member of our board of directors, is a managing director and a member of the management committee and the general partner of Sutter Hill Ventures, a California Limited Partnership.</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 Financings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November 2015 and from February 2016 through April 2016, we issued and sold an aggregate of 4,438,691 shares of Series A-1 preferred stock at a purchase price of $7.75 per share for an aggregate purchase price of approximately $34.4 million.</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February 2017 and March 2017, we issued and sold an aggregate of 4,187,682 shares of our Series A-2 preferred stock at a purchase price of approximately $9.65 per share for an aggregate purchase price of approximately $40.4 million.</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October 2017, we issued and sold an aggregate of 7,589,523 shares of our Series B preferred stock at a purchase price of approximately $9.88 per share for an aggregate purchase price of approximately $75.0 million.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The following table summarizes the Series A-1, Series A-2 and Series B preferred stock purchased by holders of more than five percent of our capital stock and their affiliated entities and our directors. None of our executive officers purchased shares of preferred stock.</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Series A-1</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Series A-2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Series B</w:t>
            </w:r>
          </w:p>
        </w:tc>
        <w:tc>
          <w:tcPr>
            <w:tcW w:w="280" w:type="dxa"/>
            <w:vAlign w:val="bottom"/>
          </w:tcPr>
          <w:p>
            <w:pPr>
              <w:spacing w:after="0"/>
              <w:rPr>
                <w:sz w:val="14"/>
                <w:szCs w:val="14"/>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Preferred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Preferred</w:t>
            </w: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20" w:type="dxa"/>
            <w:vAlign w:val="bottom"/>
            <w:gridSpan w:val="3"/>
            <w:vMerge w:val="continue"/>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Entities affiliated</w:t>
            </w: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Lightspeed Venture Partners</w:t>
            </w:r>
            <w:r>
              <w:rPr>
                <w:rFonts w:ascii="Arial" w:cs="Arial" w:eastAsia="Arial" w:hAnsi="Arial"/>
                <w:sz w:val="15"/>
                <w:szCs w:val="15"/>
                <w:color w:val="auto"/>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1,407,734</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1,133,670</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1,315,519</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$ 34,846,801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Entities and individuals affiliated with Sutter Hill Ventures</w:t>
            </w:r>
            <w:r>
              <w:rPr>
                <w:rFonts w:ascii="Arial" w:cs="Arial" w:eastAsia="Arial" w:hAnsi="Arial"/>
                <w:sz w:val="15"/>
                <w:szCs w:val="15"/>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1,407,720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1,133,659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1,315,511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34,846,801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Lifesciences III, L.P.</w:t>
            </w:r>
            <w:r>
              <w:rPr>
                <w:rFonts w:ascii="Arial" w:cs="Arial" w:eastAsia="Arial" w:hAnsi="Arial"/>
                <w:sz w:val="15"/>
                <w:szCs w:val="15"/>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938,489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755,780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1,922,682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33,564,534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Investment advisory clients of Wellington Management Company, LLP</w:t>
            </w:r>
            <w:r>
              <w:rPr>
                <w:rFonts w:ascii="Arial" w:cs="Arial" w:eastAsia="Arial" w:hAnsi="Arial"/>
                <w:sz w:val="15"/>
                <w:szCs w:val="15"/>
                <w:color w:val="auto"/>
              </w:rPr>
              <w:t>(4)</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2,023,876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GV</w:t>
            </w:r>
            <w:r>
              <w:rPr>
                <w:rFonts w:ascii="Arial" w:cs="Arial" w:eastAsia="Arial" w:hAnsi="Arial"/>
                <w:sz w:val="15"/>
                <w:szCs w:val="15"/>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516,129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518,279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14,055,229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0"/>
          <w:szCs w:val="20"/>
          <w:color w:val="auto"/>
        </w:rPr>
      </w:pPr>
    </w:p>
    <w:p>
      <w:pPr>
        <w:jc w:val="both"/>
        <w:ind w:left="640" w:right="20" w:hanging="436"/>
        <w:spacing w:after="0" w:line="253"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shares of preferred stock purchased by (a) Lightspeed Venture Partners X, L.P., (b) Lightspeed Affiliates X, L.P. and (c) Lightspeed Venture Partners Select II, L.P. Mr. Schaepe, a member of our board of directors, is a partner of Lightspeed General Partner Select II, L.P., the general partner of Lightspeed Venture Partners Select II, L.P., and a director of Lightspeed Ultimate General Partner Select II, Ltd., the general partner of Lightspeed General Partner Select II, L.P., and a partner of Lightspeed General Partner X, L.P., the general partner of Lightspeed Venture Partners X, L.P. and Lightspeed Affiliates X, L.P., and a director of Lightspeed Ultimate General Partner X, Ltd., the general partner of Lightspeed General Partner X, L.P.</w:t>
      </w:r>
    </w:p>
    <w:p>
      <w:pPr>
        <w:spacing w:after="0" w:line="1" w:lineRule="exact"/>
        <w:rPr>
          <w:rFonts w:ascii="Arial" w:cs="Arial" w:eastAsia="Arial" w:hAnsi="Arial"/>
          <w:sz w:val="18"/>
          <w:szCs w:val="18"/>
          <w:color w:val="auto"/>
        </w:rPr>
      </w:pPr>
    </w:p>
    <w:p>
      <w:pPr>
        <w:jc w:val="both"/>
        <w:ind w:left="640" w:right="2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shares of preferred stock purchased by (a) Sutter Hill Ventures, a California Limited Partnership, or SHV (b) entities affiliated with Jeffrey W. Bird and (c) individuals affiliated with SHV and entities affiliated with such individuals. Dr. Bird, a member of our board of directors, is a managing director and member of the management committee of the general partner of SHV.</w:t>
      </w:r>
    </w:p>
    <w:p>
      <w:pPr>
        <w:spacing w:after="0" w:line="1"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Dr. Henner, a member of our board of directors, is a managing director of Clarus Ventures III, LLC, the general partner of Clarus Ventures III GP, L.P., the general partner of this entity.</w:t>
      </w:r>
    </w:p>
    <w:p>
      <w:pPr>
        <w:ind w:left="640" w:hanging="43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shares held by Hadley Harbor Master Investors (Cayman) II L.P.</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shares of preferred stock purchased by GV 2015, L.P. and GV 2016, L.P.</w:t>
      </w:r>
    </w:p>
    <w:p>
      <w:pPr>
        <w:spacing w:after="0" w:line="21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Upon the closing of this offering, each share of preferred stock will convert into one share of common stock. For a description of the material rights and privileges of the preferred stock, see Note 7 to our audited financial statements included elsewhere in this 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jc w:val="both"/>
        <w:ind w:left="200" w:right="20" w:firstLine="441"/>
        <w:spacing w:after="0" w:line="270" w:lineRule="auto"/>
        <w:rPr>
          <w:sz w:val="20"/>
          <w:szCs w:val="20"/>
          <w:color w:val="auto"/>
        </w:rPr>
      </w:pPr>
      <w:r>
        <w:rPr>
          <w:rFonts w:ascii="Arial" w:cs="Arial" w:eastAsia="Arial" w:hAnsi="Arial"/>
          <w:sz w:val="17"/>
          <w:szCs w:val="17"/>
          <w:color w:val="auto"/>
        </w:rPr>
        <w:t>In October 2017, we entered into an amended and restated investor rights agreement, or IRA, with certain holders of our preferred stock and common stock, including entities affiliated with Lightspeed Venture Partners, Sutter Hill Ventures and Clarus and including certain members of, and affiliates of, our directors and certain of our executive officers. The IRA provides the holders of our preferred stock with certain registration rights, including the right to demand that we file a registration statement or request that their shares be covered by a registration statement that we are otherwise filing. Dr. Bird, Dr. Henner and Mr. Schaepe, members of our board of directors, are affiliated with Sutter Hill Ventures, Clarus and Lightspeed Venture Partners, respectively. The IRA also provides these stockholders with information rights, which will terminate upon the closing of this offering, and a right of first refusal with regard to certain issuances of our capital stock, which will not apply to, and will terminate upon, the closing of, this offering. After the closing of this offering, the holders of 16,215,896 shares of common stock issuable on conversion of outstanding preferred stock, will be entitled to rights with respect to the registration of their shares of common stock under the Securities Act under this agreement. For a description of these registration rights, see “Description of Capital Stock—Registration Rights.”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59" w:right="4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Our amended and restated certificate of incorporation will contain provisions limiting the liability of directors,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“Executive Compensation —Limitations on Liability and Indemnification Matters.”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Relationship with Stanford University</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November 2015, we entered into a license agreement with Stanford University, pursuant to which Stanford was issued 1,000,160 shares of common stock in November 2016. During 2016 and 2017, we made payments to Stanford of $960,722 and $638,954, respectively, under the Stanford license agreement for annual license fees and patent expense reimbursement.</w:t>
      </w:r>
    </w:p>
    <w:p>
      <w:pPr>
        <w:spacing w:after="0" w:line="18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Dr. Weissman and Dr. Majeti, members of our board of directors, are professors at Stanford. Dr. Weissman and Dr. Majeti are co-inventors of some of the patents that we license from Stanford. Under Stanford’s policies, as co-inventors Dr. Weissman and Dr. Majeti are entitled to receive a share of any royalties that we pay to Stanford under the agreement with respect to the covered intellectual property. No royalty payments have been made to date.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 Letters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have entered into offer letters or employment agreements with our executive officers. For more information regarding these agreements, see “Executive Compensation—Employment, Severance and Change in Control Agreements.”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Grants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have granted stock options to our executive officers and certain members of our board of directors. For a description of these options, see “Executive Compensation” and “Management—Non-Employee Director Compensation.”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Bonus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have established a cash bonus plan for certain of our executive officers. For a description of this plan, see “Executive Compensation” and “Management—2018 Annual Bonus Plan.”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Related-Party Transaction Policy</w:t>
      </w:r>
    </w:p>
    <w:p>
      <w:pPr>
        <w:spacing w:after="0" w:line="121"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We have adopted a formal written policy that our executive officers, directors, holders of more than five percent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whether the transaction will be on terms no less favorable than terms generally available to an unaffiliated third-party under the same or similar circumstances and the extent of the related-party’s interest in the transaction.</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of the transactions described in this section were entered into prior to the adoption of this policy.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May 31, 2018:</w:t>
      </w:r>
    </w:p>
    <w:p>
      <w:pPr>
        <w:spacing w:after="0" w:line="131" w:lineRule="exact"/>
        <w:rPr>
          <w:sz w:val="20"/>
          <w:szCs w:val="20"/>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25" w:lineRule="exact"/>
        <w:rPr>
          <w:sz w:val="20"/>
          <w:szCs w:val="20"/>
          <w:color w:val="auto"/>
        </w:rPr>
      </w:pPr>
    </w:p>
    <w:p>
      <w:pPr>
        <w:jc w:val="both"/>
        <w:ind w:left="200" w:right="20" w:firstLine="441"/>
        <w:spacing w:after="0" w:line="273" w:lineRule="auto"/>
        <w:rPr>
          <w:sz w:val="20"/>
          <w:szCs w:val="20"/>
          <w:color w:val="auto"/>
        </w:rPr>
      </w:pPr>
      <w:r>
        <w:rPr>
          <w:rFonts w:ascii="Arial" w:cs="Arial" w:eastAsia="Arial" w:hAnsi="Arial"/>
          <w:sz w:val="17"/>
          <w:szCs w:val="17"/>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May 31, 2018,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78"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We have based percentage ownership of common stock before this offering on 22,939,021 shares of common stock outstanding as of May 31, 2018, which includes 16,215,896 shares of common stock resulting from the conversion of all outstanding shares of preferred stock immediately upon the closing of this offering, as if this conversion had occurred as of May 31, 2018. Percentage ownership of common stock after this offering assumes the sale of 6,700,000 shares of common stock in this offering and no exercise of the underwriters’ over-allotment option.</w:t>
      </w:r>
    </w:p>
    <w:p>
      <w:pPr>
        <w:spacing w:after="0" w:line="17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Unless otherwise indicated, the address for each beneficial owner listed in the table below is c/o Forty Seven, Inc., 1490 O’Brien Drive, Suite A, Menlo Park, California 94025.</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Shares Beneficially</w:t>
            </w: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94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Owned Following</w:t>
            </w:r>
          </w:p>
        </w:tc>
        <w:tc>
          <w:tcPr>
            <w:tcW w:w="0" w:type="dxa"/>
            <w:vAlign w:val="bottom"/>
          </w:tcPr>
          <w:p>
            <w:pPr>
              <w:spacing w:after="0"/>
              <w:rPr>
                <w:sz w:val="1"/>
                <w:szCs w:val="1"/>
                <w:color w:val="auto"/>
              </w:rPr>
            </w:pPr>
          </w:p>
        </w:tc>
      </w:tr>
      <w:tr>
        <w:trPr>
          <w:trHeight w:val="171"/>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2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93"/>
              </w:rPr>
              <w:t>this Offering</w:t>
            </w: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254"/>
              <w:spacing w:after="0"/>
              <w:rPr>
                <w:sz w:val="20"/>
                <w:szCs w:val="20"/>
                <w:color w:val="auto"/>
              </w:rPr>
            </w:pPr>
            <w:r>
              <w:rPr>
                <w:rFonts w:ascii="Arial" w:cs="Arial" w:eastAsia="Arial" w:hAnsi="Arial"/>
                <w:sz w:val="14"/>
                <w:szCs w:val="14"/>
                <w:b w:val="1"/>
                <w:bCs w:val="1"/>
                <w:color w:val="auto"/>
                <w:w w:val="93"/>
              </w:rPr>
              <w:t>this Offering</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gridSpan w:val="3"/>
            <w:vMerge w:val="continue"/>
          </w:tcPr>
          <w:p>
            <w:pPr>
              <w:spacing w:after="0"/>
              <w:rPr>
                <w:sz w:val="12"/>
                <w:szCs w:val="12"/>
                <w:color w:val="auto"/>
              </w:rPr>
            </w:pPr>
          </w:p>
        </w:tc>
        <w:tc>
          <w:tcPr>
            <w:tcW w:w="2020" w:type="dxa"/>
            <w:vAlign w:val="bottom"/>
          </w:tcPr>
          <w:p>
            <w:pPr>
              <w:spacing w:after="0"/>
              <w:rPr>
                <w:sz w:val="12"/>
                <w:szCs w:val="12"/>
                <w:color w:val="auto"/>
              </w:rPr>
            </w:pPr>
          </w:p>
        </w:tc>
        <w:tc>
          <w:tcPr>
            <w:tcW w:w="118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34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16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34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Principal Stockholders:</w:t>
            </w:r>
          </w:p>
        </w:tc>
        <w:tc>
          <w:tcPr>
            <w:tcW w:w="294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Entities affiliated with Lightspeed Ventures Partners</w:t>
            </w:r>
            <w:r>
              <w:rPr>
                <w:rFonts w:ascii="Arial" w:cs="Arial" w:eastAsia="Arial" w:hAnsi="Arial"/>
                <w:sz w:val="15"/>
                <w:szCs w:val="15"/>
                <w:color w:val="auto"/>
              </w:rPr>
              <w:t>(1)</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3,856,923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16.8%</w:t>
            </w:r>
          </w:p>
        </w:tc>
        <w:tc>
          <w:tcPr>
            <w:tcW w:w="860" w:type="dxa"/>
            <w:vAlign w:val="bottom"/>
          </w:tcPr>
          <w:p>
            <w:pPr>
              <w:jc w:val="right"/>
              <w:spacing w:after="0"/>
              <w:rPr>
                <w:sz w:val="20"/>
                <w:szCs w:val="20"/>
                <w:color w:val="auto"/>
              </w:rPr>
            </w:pPr>
            <w:r>
              <w:rPr>
                <w:rFonts w:ascii="Arial" w:cs="Arial" w:eastAsia="Arial" w:hAnsi="Arial"/>
                <w:sz w:val="18"/>
                <w:szCs w:val="18"/>
                <w:color w:val="auto"/>
              </w:rPr>
              <w:t>3,856,923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and individuals affiliated with Sutter Hill Ventures</w:t>
            </w:r>
            <w:r>
              <w:rPr>
                <w:rFonts w:ascii="Arial" w:cs="Arial" w:eastAsia="Arial" w:hAnsi="Arial"/>
                <w:sz w:val="15"/>
                <w:szCs w:val="15"/>
                <w:color w:val="auto"/>
              </w:rPr>
              <w:t>(2)</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3,856,890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16.8</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3,856,890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Clarus Lifesciences III, L.P.</w:t>
            </w:r>
            <w:r>
              <w:rPr>
                <w:rFonts w:ascii="Arial" w:cs="Arial" w:eastAsia="Arial" w:hAnsi="Arial"/>
                <w:sz w:val="15"/>
                <w:szCs w:val="15"/>
                <w:color w:val="auto"/>
              </w:rPr>
              <w:t>(3)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3,616,951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15.8</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3,616,951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Investment advisory clients of Wellington Management Company, LLP</w:t>
            </w:r>
            <w:r>
              <w:rPr>
                <w:rFonts w:ascii="Arial" w:cs="Arial" w:eastAsia="Arial" w:hAnsi="Arial"/>
                <w:sz w:val="15"/>
                <w:szCs w:val="15"/>
                <w:color w:val="auto"/>
                <w:w w:val="92"/>
              </w:rPr>
              <w:t>(4)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2,023,876</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2,023,876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Entities affiliated with GV</w:t>
            </w:r>
            <w:r>
              <w:rPr>
                <w:rFonts w:ascii="Arial" w:cs="Arial" w:eastAsia="Arial" w:hAnsi="Arial"/>
                <w:sz w:val="15"/>
                <w:szCs w:val="15"/>
                <w:color w:val="auto"/>
              </w:rPr>
              <w:t>(5)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1,545,966</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1,545,966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Mark A. McCamish, M.D.</w:t>
            </w:r>
            <w:r>
              <w:rPr>
                <w:rFonts w:ascii="Arial" w:cs="Arial" w:eastAsia="Arial" w:hAnsi="Arial"/>
                <w:sz w:val="15"/>
                <w:szCs w:val="15"/>
                <w:color w:val="auto"/>
              </w:rPr>
              <w:t>(6)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807,644</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807,644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H. Takimoto, M.D.</w:t>
            </w:r>
            <w:r>
              <w:rPr>
                <w:rFonts w:ascii="Arial" w:cs="Arial" w:eastAsia="Arial" w:hAnsi="Arial"/>
                <w:sz w:val="15"/>
                <w:szCs w:val="15"/>
                <w:color w:val="auto"/>
              </w:rPr>
              <w:t>(7)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314,190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314,190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Craig S. Gibbs, Ph.D.</w:t>
            </w:r>
            <w:r>
              <w:rPr>
                <w:rFonts w:ascii="Arial" w:cs="Arial" w:eastAsia="Arial" w:hAnsi="Arial"/>
                <w:sz w:val="15"/>
                <w:szCs w:val="15"/>
                <w:color w:val="auto"/>
              </w:rPr>
              <w:t>(8)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363,223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363,223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Kristine M. Ball</w:t>
            </w:r>
            <w:r>
              <w:rPr>
                <w:rFonts w:ascii="Arial" w:cs="Arial" w:eastAsia="Arial" w:hAnsi="Arial"/>
                <w:sz w:val="15"/>
                <w:szCs w:val="15"/>
                <w:color w:val="auto"/>
              </w:rPr>
              <w:t>(9)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Jeffrey W. Bird, M.D.</w:t>
            </w:r>
            <w:r>
              <w:rPr>
                <w:rFonts w:ascii="Arial" w:cs="Arial" w:eastAsia="Arial" w:hAnsi="Arial"/>
                <w:sz w:val="15"/>
                <w:szCs w:val="15"/>
                <w:color w:val="auto"/>
              </w:rPr>
              <w:t>(10)</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3,877,535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16.9</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3,877,535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T. Clark</w:t>
            </w:r>
            <w:r>
              <w:rPr>
                <w:rFonts w:ascii="Arial" w:cs="Arial" w:eastAsia="Arial" w:hAnsi="Arial"/>
                <w:sz w:val="15"/>
                <w:szCs w:val="15"/>
                <w:color w:val="auto"/>
              </w:rPr>
              <w:t>(11)</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126,493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Dennis J. Henner, Ph.D.</w:t>
            </w:r>
            <w:r>
              <w:rPr>
                <w:rFonts w:ascii="Arial" w:cs="Arial" w:eastAsia="Arial" w:hAnsi="Arial"/>
                <w:sz w:val="15"/>
                <w:szCs w:val="15"/>
                <w:color w:val="auto"/>
              </w:rPr>
              <w:t>(12)</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3,637,596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15.8</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3,637,596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Ravindra Majeti, M.D.</w:t>
            </w:r>
            <w:r>
              <w:rPr>
                <w:rFonts w:ascii="Arial" w:cs="Arial" w:eastAsia="Arial" w:hAnsi="Arial"/>
                <w:sz w:val="15"/>
                <w:szCs w:val="15"/>
                <w:color w:val="auto"/>
              </w:rPr>
              <w:t>(13)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1,586,356</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1,586,356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Christopher J. Schaepe</w:t>
            </w:r>
            <w:r>
              <w:rPr>
                <w:rFonts w:ascii="Arial" w:cs="Arial" w:eastAsia="Arial" w:hAnsi="Arial"/>
                <w:sz w:val="15"/>
                <w:szCs w:val="15"/>
                <w:color w:val="auto"/>
              </w:rPr>
              <w:t>(14)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3,877,568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16.9</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3,877,568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Irving L. Weissman, M.D.</w:t>
            </w:r>
            <w:r>
              <w:rPr>
                <w:rFonts w:ascii="Arial" w:cs="Arial" w:eastAsia="Arial" w:hAnsi="Arial"/>
                <w:sz w:val="15"/>
                <w:szCs w:val="15"/>
                <w:color w:val="auto"/>
              </w:rPr>
              <w:t>(15)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2,174,468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2,174,468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(11 persons)</w:t>
            </w:r>
            <w:r>
              <w:rPr>
                <w:rFonts w:ascii="Arial" w:cs="Arial" w:eastAsia="Arial" w:hAnsi="Arial"/>
                <w:sz w:val="15"/>
                <w:szCs w:val="15"/>
                <w:color w:val="auto"/>
              </w:rPr>
              <w:t>(16)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16,858,587</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68.5</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16,858,587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53.8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20" w:type="dxa"/>
            <w:vAlign w:val="bottom"/>
          </w:tcPr>
          <w:p>
            <w:pPr>
              <w:jc w:val="right"/>
              <w:ind w:right="1650"/>
              <w:spacing w:after="0"/>
              <w:rPr>
                <w:sz w:val="20"/>
                <w:szCs w:val="20"/>
                <w:color w:val="auto"/>
              </w:rPr>
            </w:pPr>
            <w:r>
              <w:rPr>
                <w:rFonts w:ascii="Arial" w:cs="Arial" w:eastAsia="Arial" w:hAnsi="Arial"/>
                <w:sz w:val="18"/>
                <w:szCs w:val="18"/>
                <w:color w:val="auto"/>
                <w:w w:val="86"/>
              </w:rPr>
              <w:t>137</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300355</wp:posOffset>
            </wp:positionV>
            <wp:extent cx="6946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jc w:val="both"/>
        <w:ind w:left="640" w:hanging="436"/>
        <w:spacing w:after="0" w:line="281" w:lineRule="auto"/>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(i) 2,474,368 shares held by Lightspeed Venture Partners X, L.P., or Lightspeed X, (ii) 1,315,519 shares held by Lightspeed Venture Partners Select II, L.P., or Lightspeed Select II, and (iii) 67,036 shares held by Lightspeed Affiliates X, L.P., or Lightspeed Affiliates. Lightspeed General Partner X, L.P., or Lightspeed GP X, is the general partner of Lightspeed X and Lightspeed Affiliates. Lightspeed Ultimate General Partner X, Ltd., or Lightspeed UGP X, is the general partner of Lightspeed GP X. Christopher J. Schaepe, Barry Eggers, Ravi Mhatre, Peter Nieh and Jeremy Liew are the directors of Lightspeed UGP X and share voting and dispositive power with respect to the shares held by Lightspeed X. Lightspeed General Partner Select II, L.P., or Select II GP, is the general partner of Lightspeed Select II. Lightspeed Ultimate General Partner Select II, Ltd., or Select II UGP, is the general partner of Select II GP. Mr. Schaepe, Eggers, Mhatre, Nieh and Liew are the directors of Select II UGP and share voting and dispositive power with respect to the shares held by Lightspeed Select II. Messrs. Schaepe, Eggers, Liew, Mhatre and Nieh disclaim beneficial ownership of the shares held by Lightspeed X, Lightspeed Affiliates and Lightspeed Select II except to the extent of their pecuniary interest herein. The address for Lightspeed Venture Partners is 2200 Sand Hill Road, Menlo Park, California 94025. Certain entities affiliated with Lightspeed Ventures Partners have indicated an interest in purchasing shares of our common stock in this offering at the initial public offering price. Because this indication of interest is not a binding agreement or commitment to purchase, Lightspeed Venture Partners may elect not to purchase shares in this offering or the underwriters may elect not to sell any shares in this offering to Lightspeed Venture Partners. However, if any shares are purchased by Lightspeed Venture Partners, the number of shares of common stock beneficially owned after this offering and the percentage of common stock beneficially owned after this offering will differ from that set forth in the table above.</w:t>
      </w:r>
    </w:p>
    <w:p>
      <w:pPr>
        <w:spacing w:after="0" w:line="10" w:lineRule="exact"/>
        <w:rPr>
          <w:rFonts w:ascii="Arial" w:cs="Arial" w:eastAsia="Arial" w:hAnsi="Arial"/>
          <w:sz w:val="16"/>
          <w:szCs w:val="16"/>
          <w:color w:val="auto"/>
        </w:rPr>
      </w:pPr>
    </w:p>
    <w:p>
      <w:pPr>
        <w:jc w:val="both"/>
        <w:ind w:left="640" w:hanging="436"/>
        <w:spacing w:after="0" w:line="265" w:lineRule="auto"/>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(a) 2,771,637 shares held by Sutter Hill Ventures, a California Limited Partnership, or SHV, and (b) an aggregate of 869,211 shares that are held by individuals affiliated with SHV and entities associated with such individuals, including the 216,042 shares beneficially owned by Dr. Bird and described in Footnote 10. Voting and investment authority over the shares held by SHV are shared by members of the management committee of the general partner of SHV, which consists of Jeffrey W. Bird, Tench Coxe, Stefan A. Dyckerhoff, Samuel J. Pullara III, Michael L. Speiser and James N. White. The address for Sutter Hill Ventures is 755 Page Mill Road, Suite A-200, Palo Alto, California 94304. Certain entities affiliated with SHV have indicated an interest in purchasing shares of our common stock in this offering at the initial public offering price. Because this indication of interest is not a binding agreement or commitment to purchase, SHV may elect not to purchase shares in this offering or the underwriters may elect not to sell any shares in this offering to SHV. However, if any shares are purchased by SHV, the number of shares of common stock beneficially owned after this offering and the percentage of common stock beneficially owned after this offering will differ from that set forth in the table above.</w:t>
      </w:r>
    </w:p>
    <w:p>
      <w:pPr>
        <w:spacing w:after="0" w:line="2" w:lineRule="exact"/>
        <w:rPr>
          <w:rFonts w:ascii="Arial" w:cs="Arial" w:eastAsia="Arial" w:hAnsi="Arial"/>
          <w:sz w:val="17"/>
          <w:szCs w:val="17"/>
          <w:color w:val="auto"/>
        </w:rPr>
      </w:pPr>
    </w:p>
    <w:p>
      <w:pPr>
        <w:jc w:val="both"/>
        <w:ind w:left="640" w:hanging="436"/>
        <w:spacing w:after="0" w:line="285" w:lineRule="auto"/>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Clarus Ventures III GP, L.P., or GPLP, as the sole general partner of Clarus Lifesciences III, L.P., or Clarus, may be deemed to beneficially own certain of the shares held by Clarus. GPLP disclaims beneficial ownership of all shares held by Clarus in which the GPLP does not have an actual pecuniary interest. Clarus Ventures III, LLC, or GPLLC, as the sole general partner of the GPLP, may be deemed to beneficially own certain of the shares held by Clarus. GPLLC disclaims beneficial ownership of all shares held by Clarus in which it does not have an actual pecuniary interest. Each of Dennis J. Henner, a member of our board of directors, Nicholas Galakatos, Robert Liptak, Nicholas Simon, Scott Requadt and Kurt Wheeler, as individual managing directors of GPLLC, may be deemed to beneficially own certain of the shares held of record by Clarus. Each of Dr. Henner and Messrs. Galakatos, Liptak, Simon, Requadt and Wheeler disclaims beneficial ownership of all shares held of record by Clarus in which he does not have an actual pecuniary interest. The address for Clarus Lifesciences III, L.P. is 101 Main Street, 12</w:t>
      </w:r>
      <w:r>
        <w:rPr>
          <w:rFonts w:ascii="Arial" w:cs="Arial" w:eastAsia="Arial" w:hAnsi="Arial"/>
          <w:sz w:val="13"/>
          <w:szCs w:val="13"/>
          <w:color w:val="auto"/>
        </w:rPr>
        <w:t>th</w:t>
      </w:r>
      <w:r>
        <w:rPr>
          <w:rFonts w:ascii="Arial" w:cs="Arial" w:eastAsia="Arial" w:hAnsi="Arial"/>
          <w:sz w:val="16"/>
          <w:szCs w:val="16"/>
          <w:color w:val="auto"/>
        </w:rPr>
        <w:t xml:space="preserve"> Floor, Cambridge, Massachusetts 02142. Certain entities affiliated with Clarus have indicated an interest in purchasing shares of our common stock in this offering at the initial public offering price. Because this indication of interest is not a binding agreement or commitment to purchase, Clarus may elect not to purchase shares in this offering or the underwriters may elect not to sell any shares in this offering to Clarus. However, if any shares are purchased by Clarus, the number of shares of common stock beneficially owned after this offering and the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percentage of common stock beneficially owned after this offering will differ from that set forth in the table above.</w:t>
      </w:r>
    </w:p>
    <w:p>
      <w:pPr>
        <w:spacing w:after="0" w:line="23" w:lineRule="exact"/>
        <w:rPr>
          <w:sz w:val="20"/>
          <w:szCs w:val="20"/>
          <w:color w:val="auto"/>
        </w:rPr>
      </w:pPr>
    </w:p>
    <w:p>
      <w:pPr>
        <w:jc w:val="both"/>
        <w:ind w:left="640" w:hanging="436"/>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shares held by Hadley Harbor Master Investors (Cayman) II L.P. Wellington Management Company, LLP, or Wellington Management, is an investment adviser registered under the Investment Advisers Act of 1940, as amended, and serves as the advisor to this entity. Wellington Management, in such capacity, may be deemed to share beneficial ownership (within the meaning of Rule 13d-3 promulgated under the Exchange Act) of the shares held by its client accounts. The address for Wellington Management Company, LLP is 280 Congress Street, Boston, Massachusetts 02210.</w:t>
      </w:r>
    </w:p>
    <w:p>
      <w:pPr>
        <w:spacing w:after="0" w:line="2" w:lineRule="exact"/>
        <w:rPr>
          <w:rFonts w:ascii="Arial" w:cs="Arial" w:eastAsia="Arial" w:hAnsi="Arial"/>
          <w:sz w:val="18"/>
          <w:szCs w:val="18"/>
          <w:color w:val="auto"/>
        </w:rPr>
      </w:pPr>
    </w:p>
    <w:p>
      <w:pPr>
        <w:jc w:val="both"/>
        <w:ind w:left="640" w:hanging="436"/>
        <w:spacing w:after="0" w:line="281" w:lineRule="auto"/>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(i) 1,034,408 shares held by GV 2015, L.P., or GV 2015 and (ii) 511,558 shares held by GV 2016, L.P., or GV 2016. Each of GV 2015 GP, L.L.C., the general partner of GV 2015, Alphabet Holdings LLC, or Alphabet Holdings, the sole member of GV 2015 GP, L.L.C., XXVI Holdings Inc., the managing member of Alphabet Holdings, and Alphabet Inc., or Alphabet, the sole stockholder of XXVI Holdings Inc. may be deemed to have sole power to vote or dispose of the shares held by GV 2015. Each of GV 2016 GP, L.P., the general partner of GV 2016, GV 2016 GP, L.L.C., the general partner of GV 2016 GP, L.P., Alphabet Holdings, the sole member of GV 2016 GP, L.L.C., XXVI Holdings Inc., the managing member of Alphabet Holdings and Alphabet, the sole stockholder of XXVI Holdings Inc., may be deemed to have sole power to vote or dispose of the shares held by GV 2016. The address for GV is 1600 Amphitheatre Parkway, Mountain View, California 94043.</w:t>
      </w:r>
    </w:p>
    <w:p>
      <w:pPr>
        <w:spacing w:after="0" w:line="4" w:lineRule="exact"/>
        <w:rPr>
          <w:rFonts w:ascii="Arial" w:cs="Arial" w:eastAsia="Arial" w:hAnsi="Arial"/>
          <w:sz w:val="16"/>
          <w:szCs w:val="16"/>
          <w:color w:val="auto"/>
        </w:rPr>
      </w:pPr>
    </w:p>
    <w:p>
      <w:pPr>
        <w:ind w:left="640" w:hanging="436"/>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798,612 shares of common stock issuable to Dr. McCamish pursuant to options exercisable within 60 days of May 31, 2018, of which 587,599 shares would be unvested and subject to repurchase as of such date.</w:t>
      </w:r>
    </w:p>
    <w:p>
      <w:pPr>
        <w:ind w:left="640" w:hanging="436"/>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shares of common stock issuable to Dr. Takimoto pursuant to options exercisable within 60 days of May 31, 2018, of which 196,989 shares would be unvested and subject to repurchase as of such date.</w:t>
      </w:r>
    </w:p>
    <w:p>
      <w:pPr>
        <w:ind w:left="640" w:hanging="436"/>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250,320 shares of common stock issuable to Dr. Gibbs pursuant to options exercisable within 60 days of May 31, 2018, of which 192,526 shares would be unvested and subject to repurchase as of such date.</w:t>
      </w:r>
    </w:p>
    <w:p>
      <w:pPr>
        <w:ind w:left="640" w:hanging="43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shares of common stock issuable to Ms. Ball pursuant to options exercisable within 60 days of May 31, 2018.</w:t>
      </w:r>
    </w:p>
    <w:p>
      <w:pPr>
        <w:spacing w:after="0" w:line="9" w:lineRule="exact"/>
        <w:rPr>
          <w:rFonts w:ascii="Arial" w:cs="Arial" w:eastAsia="Arial" w:hAnsi="Arial"/>
          <w:sz w:val="18"/>
          <w:szCs w:val="18"/>
          <w:color w:val="auto"/>
        </w:rPr>
      </w:pPr>
    </w:p>
    <w:p>
      <w:pPr>
        <w:jc w:val="both"/>
        <w:ind w:left="640" w:hanging="436"/>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(i) 667 shares held by Jeffrey W. Bird and Christina R. Bird, Co-Trustees of Jeffrey W. and Christina R. Bird Trust U/A/D 10/31/00, or the Bird Trust, (ii) 215,375 shares held by NestEgg Holdings, LP, or NestEgg, and (iii) 20,645 shares of common stock issuable to Dr. Bird pursuant to options exercisable within 60 days of May 31, 2018, all of which would be unvested and subject to repurchase as of such date. Dr. Bird is a managing director and member of the management committee of the general partner of SHV and shares voting and investment power over the shares held of record by SHV. Dr. Bird disclaims beneficial ownership of the shares held by the Bird Trust, NestEgg and SHV except to the extent of his pecuniary interest therein. See Footnote 2 above.</w:t>
      </w:r>
    </w:p>
    <w:p>
      <w:pPr>
        <w:spacing w:after="0" w:line="2"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shares of common stock issuable to Mr. Clark pursuant to options exercisable within 60 days of May 31, 2018, of which 118,588 shares would be unvested and subject to repurchase as of such date.</w:t>
      </w:r>
    </w:p>
    <w:p>
      <w:pPr>
        <w:jc w:val="both"/>
        <w:ind w:left="640" w:hanging="436"/>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(i) the shares listed in Footnote 3 above and (ii) 20,645 shares of common stock issuable to Dr. Henner pursuant to options exercisable within 60 days of May 31, 2018, all of which would be unvested and subject to repurchase as of such date. Dr. Henner is a managing director of GPLLC, the general partner of GPLP, the general partner of Clarus. Dr. Henner disclaims beneficial ownership of all the shares held of record by Clarus in which he does not have an actual pecuniary interest.</w:t>
      </w:r>
    </w:p>
    <w:p>
      <w:pPr>
        <w:spacing w:after="0" w:line="1" w:lineRule="exact"/>
        <w:rPr>
          <w:rFonts w:ascii="Arial" w:cs="Arial" w:eastAsia="Arial" w:hAnsi="Arial"/>
          <w:sz w:val="18"/>
          <w:szCs w:val="18"/>
          <w:color w:val="auto"/>
        </w:rPr>
      </w:pPr>
    </w:p>
    <w:p>
      <w:pPr>
        <w:ind w:left="640" w:hanging="436"/>
        <w:spacing w:after="0" w:line="265" w:lineRule="auto"/>
        <w:tabs>
          <w:tab w:leader="none" w:pos="6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Includes (i) 359,324 shares subject to repurchase by us as of July 30, 2018 and (ii) 20,645 shares of common stock issuable to Dr. Majeti pursuant to options exercisable within 60 days of May 31, 2018, all of which would be unvested and subject to repurchase as of such date.</w:t>
      </w:r>
    </w:p>
    <w:p>
      <w:pPr>
        <w:jc w:val="both"/>
        <w:ind w:left="640" w:hanging="436"/>
        <w:spacing w:after="0" w:line="254"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(i) the shares listed in Footnote 1 above and (ii) 20,645 shares of common stock issuable to Mr. Schaepe pursuant to options exercisable within 60 days of May 31, 2018, all of which would be unvested and subject to repurchase as of such date. Mr. Schaepe is a (i) director of Lightspeed X UGP, the general partner of Lightspeed X GP, the general partner of Lightspeed X and Lightspeed Affiliates and (ii) director of Select II UGP, the general partner of Select II GP, the general partner of Lightspeed Select II.</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line="258" w:lineRule="auto"/>
        <w:rPr>
          <w:sz w:val="20"/>
          <w:szCs w:val="20"/>
          <w:color w:val="auto"/>
        </w:rPr>
      </w:pPr>
      <w:r>
        <w:rPr>
          <w:rFonts w:ascii="Arial" w:cs="Arial" w:eastAsia="Arial" w:hAnsi="Arial"/>
          <w:sz w:val="18"/>
          <w:szCs w:val="18"/>
          <w:color w:val="auto"/>
        </w:rPr>
        <w:t>Mr. Schaepe disclaims beneficial ownership of the shares held by Lightspeed X, Lightspeed Affiliates and Lightspeed Select II except to the extent of his pecuniary interest herein.</w:t>
      </w:r>
    </w:p>
    <w:p>
      <w:pPr>
        <w:spacing w:after="0" w:line="1" w:lineRule="exact"/>
        <w:rPr>
          <w:sz w:val="20"/>
          <w:szCs w:val="20"/>
          <w:color w:val="auto"/>
        </w:rPr>
      </w:pPr>
    </w:p>
    <w:p>
      <w:pPr>
        <w:jc w:val="both"/>
        <w:ind w:left="640" w:hanging="436"/>
        <w:spacing w:after="0" w:line="250"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(i) 2,153,823 shares held by Ann Tsukamoto and Irving Weissman, trustees of The Tsukamoto-Weissman 2011 Trust dated March 16, 2011, as community property and (ii) 20,645 shares of common stock issuable to Dr. Weissman pursuant to options exercisable within 60 days of May 31, 2018, all of which would be unvested and subject to repurchase as of such date.</w:t>
      </w:r>
    </w:p>
    <w:p>
      <w:pPr>
        <w:spacing w:after="0" w:line="1" w:lineRule="exact"/>
        <w:rPr>
          <w:rFonts w:ascii="Arial" w:cs="Arial" w:eastAsia="Arial" w:hAnsi="Arial"/>
          <w:sz w:val="18"/>
          <w:szCs w:val="18"/>
          <w:color w:val="auto"/>
        </w:rPr>
      </w:pPr>
    </w:p>
    <w:p>
      <w:pPr>
        <w:jc w:val="both"/>
        <w:ind w:left="640" w:hanging="436"/>
        <w:spacing w:after="0" w:line="255"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(i) 15,183,651 shares of common stock beneficially owned by our directors and executive officers, of which 370,742 shares are subject to repurchase by us as of July 30, 2018 and (ii) 1,674,936 shares are issuable pursuant to options exercisable within 60 days of May 31, 2018, of which 1,273,765 shares would be unvested and subject to repurchase as of such date.</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to be in effect upon the closing of this offering, which are filed as exhibits to the registration statement of which this prospectus is part, and by the applicable provisions of Delaware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Upon the closing of this offering, our amended and restated certificate of incorporation will authorize us to issue up to 200,000,000 shares of common stock, $0.0001 par value per share, and 10,000,000 shares of preferred stock, $0.0001 par value per share.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2018, there were 6,709,207 shares of common stock issued and outstanding, held by 71 stockholders of record.</w:t>
      </w:r>
    </w:p>
    <w:p>
      <w:pPr>
        <w:spacing w:after="0" w:line="225"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As of March 31, 2018, after giving effect to the conversion of all outstanding shares of preferred stock into 16,215,896 shares of common stock, there would have been 22,925,103 shares of common stock issued and outstanding, held by 125 stockholders of record.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As of March 31, 2018, there were 16,215,896 shares of preferred stock outstanding. Upon the closing of this offering, each outstanding share of preferred stock will convert into one share of common stock. On the closing of this offering and under our amended and restated certificate of incorporation, our board of directors may, without further action by our stockholders, fix the rights, preferences, privileges and restrictions of up to an aggregate of 10,000,000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will be outstanding immediately following the closing of this offering. We have no present plan to issue any shares of preferred stock.</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As of March 31, 2018, options to purchase an aggregate of 2,206,642 shares of common stock were outstanding under our 2015 Equity Incentive Plan. Subsequent to March 31, 2018, we granted options to purchase an additional 1,199,143 shares of common stock. As of March 31, 2018, 166,856 shares of common stock were reserved for future issuance under our 2015 Equity Incentive Plan. Subsequent to March 31, 2018, we reserved an additional 1,677,419 shares of common stock for future issuance under this plan. All reserved shares will cease to be available for issuance at the time our 2018 Plan becomes effective in connection with this offering. For additional information regarding the terms of these plans, see the section titled “Executive Compensation—Employee Benefit Plans.”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are party to an Investor Rights Agreement, or IRA, which provides that certain holders of shares of common stock, including those shares of common stock that will be issued upon conversion of preferred stock in connection with this offering. These shares are referred to as registrable securities. The holders of these registrable securities possess registration rights pursuant to the terms of the IRA and are described in additional detail below. We, along with entities affiliated with Lightspeed Venture Partners, Sutter Hill Ventures, Clarus and GV, as well as other stockholders, are parties to the IRA. We entered into the IRA in connection with the issuance of Series B preferred stock in October 2017. The following summary discusses certain material provisions of the IRA and is qualified by the full text of the agreement, which is filed as an exhibit to the registration statement of which this prospectus is a part.</w:t>
      </w:r>
    </w:p>
    <w:p>
      <w:pPr>
        <w:spacing w:after="0" w:line="189"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Certain stockholders who are party to the IRA have waived their registration rights and the registration rights of the other stockholders who are party to the IRA, in each case, with respect to this offering.</w:t>
      </w:r>
    </w:p>
    <w:p>
      <w:pPr>
        <w:spacing w:after="0" w:line="17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Generally, in an underwritten offering, if we determine in good faith in consultation with the underwriters, we have the right, subject to specified conditions, to limit the number of shares the holders may include. The demand, piggyback and Form S-3 registration rights described below will terminate on the date five years following the closing part of this offering.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The holders of an aggregate of 16,215,896 shares of common stock issuable upon conversion of outstanding shares of preferred stock will be entitled to certain demand registration rights. Ending on the date 180 days following the effective date of the registration statement of which this prospectus is a part, upon the written request of the holders of more than 50% of our registrable securities then outstanding that we file a registration statement under the Securities Act covering at least 50% of the registrable securities then outstanding, or lesser percent if the anticipated aggregate offering price, net of selling expenses, would exceed $7,500,000, we are obligated to register the sale of all registrable securities that the holders may request in writing to be registered. We are required to effect no more than two registration statements that are declared or ordered effective. We may postpone the filing of a registration statement for up to 120 days once in a 12-month period if in the good faith judgment of our board of directors such registration would be seriously detrimental to us.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The holders of an aggregate of 16,215,896 shares of common stock issuable upon conversion of outstanding shares of preferred stock will be entitled to certain piggyback registration rights. If we register any of our securities for public sale, either for our own account or for the account of other security holders, we will also have to register all registrable securities that the holders of such securities request 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 holders of an aggregate of 16,215,896 shares of common stock issuable upon conversion of outstanding shares of preferred stock will be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$1.0 million (net of underwriting discounts and commissions, if any). We are required to effect no more than two Form S-3 registration statements that are declared or ordered effective in any 12-month period. We may postpone the filing of a registration statement for up to 120 days not more than twice in a 12-month period if in the good faith judgment of our board of directors such registration would be seriously detrimental to 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7" w:lineRule="exact"/>
        <w:rPr>
          <w:sz w:val="20"/>
          <w:szCs w:val="20"/>
          <w:color w:val="auto"/>
        </w:rPr>
      </w:pPr>
    </w:p>
    <w:p>
      <w:pPr>
        <w:ind w:left="106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jc w:val="both"/>
        <w:ind w:left="1060" w:hanging="424"/>
        <w:spacing w:after="0" w:line="279"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have the right to determine confidentially whether shares held subject to the plan will be tendered in a tender or exchange offer; or</w:t>
      </w:r>
    </w:p>
    <w:p>
      <w:pPr>
        <w:spacing w:after="0" w:line="142" w:lineRule="exact"/>
        <w:rPr>
          <w:sz w:val="20"/>
          <w:szCs w:val="20"/>
          <w:color w:val="auto"/>
        </w:rPr>
      </w:pPr>
    </w:p>
    <w:p>
      <w:pPr>
        <w:jc w:val="both"/>
        <w:ind w:left="1060" w:hanging="424"/>
        <w:spacing w:after="0" w:line="264"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Upon the Closing of this Offering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 will:</w:t>
      </w:r>
    </w:p>
    <w:p>
      <w:pPr>
        <w:spacing w:after="0" w:line="131" w:lineRule="exact"/>
        <w:rPr>
          <w:sz w:val="20"/>
          <w:szCs w:val="20"/>
          <w:color w:val="auto"/>
        </w:rPr>
      </w:pPr>
    </w:p>
    <w:p>
      <w:pPr>
        <w:ind w:left="106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130"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6"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60" w:hanging="424"/>
        <w:spacing w:after="0" w:line="264"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6" w:lineRule="exact"/>
        <w:rPr>
          <w:rFonts w:ascii="Arial" w:cs="Arial" w:eastAsia="Arial" w:hAnsi="Arial"/>
          <w:sz w:val="18"/>
          <w:szCs w:val="18"/>
          <w:color w:val="auto"/>
        </w:rPr>
      </w:pPr>
    </w:p>
    <w:p>
      <w:pPr>
        <w:ind w:left="1060" w:hanging="424"/>
        <w:spacing w:after="0" w:line="308"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51"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70"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Our amended and restated certificate of incorporation will provide that the Court of Chancery of the State of Delaware will be the exclusive forum for: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Our common stock is currently not listed on any securities exchange. We have applied to list our common stock on The Nasdaq Global Market under the symbol “FTSV.”</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transfer agent and registrar for our common stock will be American Stock Transfer &amp; Trust Company, LLC. The transfer agent’s address is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6201 15th Avenue, Brooklyn, New York 11219, and its telephone number is (718) 921-8124.</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Prior to this offering, no public market existed for our common stock. Future sales of shares of our common stock in the public market after this offering, and the availability of shares for future sale, could adversely affect the market price of our common stock prevailing from time to time. As described below, only a limited number of shares will be available for sale shortly after this offering due to contractual and legal restrictions on resale. Nonetheless, sales of substantial amounts of our common stock, or the perception that these sales could occur, could adversely affect prevailing market prices for our common stock and could impair our future ability to raise equity capital.</w:t>
      </w:r>
    </w:p>
    <w:p>
      <w:pPr>
        <w:spacing w:after="0" w:line="17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Based on the number of shares outstanding on March 31, 2018, upon the closing of this offering, 29,625,103 shares of common stock will be outstanding, assuming no exercise of the underwriters’ over-allotment option, and no exercise of outstanding options. All of the shares of common stock sold in this offering will be freely tradable without restrictions or further registration under the Securities Act, except for any shares sold to our “affiliates,” as that term is defined under Rule 144 under the Securities Act.</w:t>
      </w:r>
    </w:p>
    <w:p>
      <w:pPr>
        <w:spacing w:after="0" w:line="18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The remaining shares of common stock and common stock subject to stock options will be on issuance “restricted securities,” as that term is defined in Rule 144 under the Securities Act. Restricted securities may be sold in the public market only if registered under the Securities Act or if they qualify for exemption from registration under Rules 144 or 701 under the Securities Act, which are summarized below. Restricted securities may also be sold outside of the United States to non-U.S. persons in accordance with Rule 904 of Regulation 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of our affiliates who own either restricted or unrestricted shares of our common stock, are entitled to sell their securities without registration with the SEC under an exemption from registration provided by Rule 144 under the Securities Act.</w:t>
      </w:r>
    </w:p>
    <w:p>
      <w:pPr>
        <w:spacing w:after="0" w:line="181"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In general, a person who has beneficially owned restricted shares of our common stock for at least six months would be entitled to sell their securities provided that (i) such person is not deemed to have been one of our affiliates at the time of, or at any time during the 90 days preceding, a sale,</w:t>
      </w:r>
    </w:p>
    <w:p>
      <w:pPr>
        <w:jc w:val="both"/>
        <w:ind w:left="200" w:firstLine="4"/>
        <w:spacing w:after="0" w:line="295" w:lineRule="auto"/>
        <w:tabs>
          <w:tab w:leader="none" w:pos="491" w:val="left"/>
        </w:tabs>
        <w:numPr>
          <w:ilvl w:val="0"/>
          <w:numId w:val="94"/>
        </w:numPr>
        <w:rPr>
          <w:rFonts w:ascii="Arial" w:cs="Arial" w:eastAsia="Arial" w:hAnsi="Arial"/>
          <w:sz w:val="16"/>
          <w:szCs w:val="16"/>
          <w:color w:val="auto"/>
        </w:rPr>
      </w:pPr>
      <w:r>
        <w:rPr>
          <w:rFonts w:ascii="Arial" w:cs="Arial" w:eastAsia="Arial" w:hAnsi="Arial"/>
          <w:sz w:val="16"/>
          <w:szCs w:val="16"/>
          <w:color w:val="auto"/>
        </w:rPr>
        <w:t>we have been subject to the Exchange Act periodic reporting requirements for at least 90 days before the sale, and (iii) we are current in our Exchange Act reporting at the time of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66" w:lineRule="exact"/>
        <w:rPr>
          <w:rFonts w:ascii="Arial" w:cs="Arial" w:eastAsia="Arial" w:hAnsi="Arial"/>
          <w:sz w:val="16"/>
          <w:szCs w:val="16"/>
          <w:color w:val="auto"/>
        </w:rPr>
      </w:pPr>
    </w:p>
    <w:p>
      <w:pPr>
        <w:ind w:left="1060" w:hanging="424"/>
        <w:spacing w:after="0" w:line="277" w:lineRule="auto"/>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which will equal approximately 296,251 shares immediately after the closing of this offering based on the number of shares of common stock outstanding as of March 31, 2018; or</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w:t>
      </w:r>
    </w:p>
    <w:p>
      <w:pPr>
        <w:spacing w:after="0" w:line="17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Substantially all of the restricted shares are subject to lock-up agreements as described below and in the section titled “Underwriters.”</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“Underwriters” and will become eligible for sale upon the expiration of the restrictions set forth in those agreements.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S-8 Registration Statements</w:t>
      </w:r>
    </w:p>
    <w:p>
      <w:pPr>
        <w:spacing w:after="0" w:line="121"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As soon as practicable after the closing of this offering, we intend to file with the SEC one or more registration statements on Form S-8 under the Securities Act to register the shares of common stock that are issuable pursuant to our 2015 Plan, 2018 Plan and 2018 ESPP. These registration statements will become effective immediately upon filing. Shares covered by these registration statements will then be eligible for sale in the public markets, subject to vesting restrictions, the applicable lock-up agreements described below and Rule 144 limitations applicable to affiliates.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We and all of our directors and officers, as well as the other holders of substantially all of our common stock and securities convertible into or exercisable or exchangeable for our common stock outstanding immediately upon the closing of this offering, have agreed with Morgan Stanley &amp; Co. LLC and Credit Suisse Securities (USA) LLC on behalf of the underwriters that, for a period ending on and including the 180th day following the date of this prospectus, subject to certain exceptions, we and they will not, directly or indirectly, dispose of any of our common stock or securities convertible into or exercisable or exchangeable for common stock, except with the prior written consent of Morgan Stanley &amp; Co. LLC and Credit Suisse Securities (USA) LLC, in their sole discretion, with or without notice, on behalf of the underwriters. See the section titled “Underwriters” for a more complete description of the lock-up agreements with the underwriters.</w:t>
      </w:r>
    </w:p>
    <w:p>
      <w:pPr>
        <w:spacing w:after="0" w:line="17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certain security holders, including our IRA and our standard form of notice of exercise under our 2015 Plan, that contain market stand-off provisions imposing restrictions on the ability of such security holders to offer, sell or transfer our equity securities for a period ending on and including the 180th day following the date of this 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Upon the closing of this offering, the holders of 16,215,896 shares of our common stock issuable upon conversion of outstanding shares of preferred stock, or their transferees, will be entitled to certain rights with respect to the registration of their shares under the Securities Act. Registration of these shares under the Securities Act would result in the shares becoming freely tradable without restriction under the Securities Act immediately upon the effectiveness of the registration. See the section titled “Description of Capital Stock—Registration Rights” for additional information.</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TO NON-U.S. HOLDERS OF OUR COMMON STOCK</w:t>
      </w:r>
    </w:p>
    <w:p>
      <w:pPr>
        <w:spacing w:after="0" w:line="211"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Internal Revenue Code of 1986, as amended, or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4" w:lineRule="exact"/>
        <w:rPr>
          <w:sz w:val="20"/>
          <w:szCs w:val="20"/>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 ADDITION, SIGNIFICANT CHANGES IN U.S. FEDERAL INCOME TAX LAWS WERE RECENTLY ENACTED. YOU SHOULD ALSO CONSULT WITH YOUR TAX ADVISOR WITH RESPECT TO SUCH CHANGES IN U.S. TAX LAW AS WELL AS POTENTIAL CONFORMING CHANGES IN STATE TAX LAWS.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78"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66"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54"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However, any such effectively connected dividends paid on our common stock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76" w:lineRule="exact"/>
        <w:rPr>
          <w:sz w:val="20"/>
          <w:szCs w:val="20"/>
          <w:color w:val="auto"/>
        </w:rPr>
      </w:pPr>
    </w:p>
    <w:p>
      <w:pPr>
        <w:ind w:left="1060" w:hanging="424"/>
        <w:spacing w:after="0" w:line="308"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51"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jc w:val="both"/>
        <w:ind w:left="1060" w:hanging="424"/>
        <w:spacing w:after="0" w:line="259"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8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6"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dividends on our common stock paid to such holder and the amount of any tax withheld with respect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7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FATCA will also apply to gross proceeds from sales or other dispositions of our common stock after December 31, 2018.</w:t>
      </w:r>
    </w:p>
    <w:p>
      <w:pPr>
        <w:spacing w:after="0" w:line="182"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Credit Suisse Securities (USA) LLC are acting as representatives, have severally agreed to purchase, and we have agreed to sell to them, severally, the number of shares of common stock indicated below:</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71"/>
        </w:trPr>
        <w:tc>
          <w:tcPr>
            <w:tcW w:w="9900" w:type="dxa"/>
            <w:vAlign w:val="bottom"/>
            <w:gridSpan w:val="3"/>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5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Morgan Stanley &amp; Co. LLC</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BTIG, LLC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jc w:val="both"/>
        <w:ind w:left="200" w:right="20"/>
        <w:spacing w:after="0" w:line="290" w:lineRule="auto"/>
        <w:rPr>
          <w:sz w:val="20"/>
          <w:szCs w:val="20"/>
          <w:color w:val="auto"/>
        </w:rPr>
      </w:pPr>
      <w:r>
        <w:rPr>
          <w:rFonts w:ascii="Arial" w:cs="Arial" w:eastAsia="Arial" w:hAnsi="Arial"/>
          <w:sz w:val="17"/>
          <w:szCs w:val="17"/>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62" w:lineRule="exact"/>
        <w:rPr>
          <w:sz w:val="20"/>
          <w:szCs w:val="20"/>
          <w:color w:val="auto"/>
        </w:rPr>
      </w:pPr>
    </w:p>
    <w:p>
      <w:pPr>
        <w:jc w:val="both"/>
        <w:ind w:left="200" w:right="20" w:firstLine="441"/>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1,005,000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5"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Certain of our existing stockholders or their affiliates, including entities affiliated with Lightspeed Venture Partners, Sutter Hill Ventures or Clarus, each a beneficial owner of more than 5% of our capital stock and an affiliate of one of our directors, and certain other persons, have indicated an interest in purchasing up to an aggregate of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entities, or any or all of these entities may determine to purchase more, fewer or no shares in this offering. The underwriters will receive the same underwriting discount on any shares purchased by these entities as they will on any other shares sold to the public in this offering.</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over-allotment option to purchase up to an additional 1,005,000 shares of common stock.</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809"/>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2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Per Share</w:t>
            </w:r>
          </w:p>
        </w:tc>
        <w:tc>
          <w:tcPr>
            <w:tcW w:w="15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w w:val="89"/>
              </w:rPr>
              <w:t>No Exercise</w:t>
            </w:r>
          </w:p>
        </w:tc>
        <w:tc>
          <w:tcPr>
            <w:tcW w:w="800" w:type="dxa"/>
            <w:vAlign w:val="bottom"/>
          </w:tcPr>
          <w:p>
            <w:pPr>
              <w:spacing w:after="0"/>
              <w:rPr>
                <w:sz w:val="10"/>
                <w:szCs w:val="10"/>
                <w:color w:val="auto"/>
              </w:rPr>
            </w:pPr>
          </w:p>
        </w:tc>
        <w:tc>
          <w:tcPr>
            <w:tcW w:w="520" w:type="dxa"/>
            <w:vAlign w:val="bottom"/>
          </w:tcPr>
          <w:p>
            <w:pPr>
              <w:jc w:val="right"/>
              <w:ind w:right="69"/>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80" w:type="dxa"/>
            <w:vAlign w:val="bottom"/>
            <w:gridSpan w:val="3"/>
          </w:tcPr>
          <w:p>
            <w:pPr>
              <w:ind w:left="78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28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28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$3,500,000. We have agreed to reimburse the underwriters for expenses of up to $35,000 relating to clearance of this offering with the Financial Industry Regulatory Authority, Inc. and compliance with state securities or “blue sky” laws.</w:t>
      </w:r>
    </w:p>
    <w:p>
      <w:pPr>
        <w:spacing w:after="0" w:line="18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applied to list our common stock on The Nasdaq Global Market under the trading symbol “FTSV.”</w:t>
      </w:r>
    </w:p>
    <w:p>
      <w:pPr>
        <w:spacing w:after="0" w:line="22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We and all of our directors and officers and the holders of substantially all of our common stock, stock options and other securities convertible into, exercisable or exchangeable for our common stock outstanding immediately prior to the closing of this offering have agreed that, without the prior written consent of the representatives on behalf of the underwriters, we and they will not, during the period ending on and including the 180th day after the date of this prospectus (the “restricted period”):</w:t>
      </w:r>
    </w:p>
    <w:p>
      <w:pPr>
        <w:spacing w:after="0" w:line="92" w:lineRule="exact"/>
        <w:rPr>
          <w:sz w:val="20"/>
          <w:szCs w:val="20"/>
          <w:color w:val="auto"/>
        </w:rPr>
      </w:pPr>
    </w:p>
    <w:p>
      <w:pPr>
        <w:jc w:val="both"/>
        <w:ind w:left="1060" w:right="20" w:hanging="424"/>
        <w:spacing w:after="0" w:line="264"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are subject to specified exceptions, including, without limitation:</w:t>
      </w:r>
    </w:p>
    <w:p>
      <w:pPr>
        <w:spacing w:after="0" w:line="131" w:lineRule="exact"/>
        <w:rPr>
          <w:sz w:val="20"/>
          <w:szCs w:val="20"/>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of which the underwriters have been advised in writing;</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transactions by any person other than us relating to shares of common stock or other securities acquired in this offering or in open market transactions after the closing of this offering;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60" w:hanging="424"/>
        <w:spacing w:after="0" w:line="271"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common stock (a) as a bona fide gift or charitable contribution, (b) to an immediate family member or any trust for the direct or indirect benefit of the person subject to such restrictions or the immediate family of such person, (c) to a trustor or beneficiary of the trust or to the estate of a beneficiary of such trust, or (d) distributions of shares of common stock to limited partners, members, stockholders or holders of similar equity interests of the party making such distribution or to direct or indirect subsidiaries of such party, provided that (i) each donee or other distributee shall sign and deliver a lock-up letter substantially in the form attached as an exhibit to the underwriting agreement and (ii) no filing under Section 16(a) of the Exchange Act, reporting a reduction in beneficial ownership of shares of common stock, and no other public announcement or filing, shall be required or shall be voluntarily made during the restricted period;</w:t>
      </w:r>
    </w:p>
    <w:p>
      <w:pPr>
        <w:spacing w:after="0" w:line="84" w:lineRule="exact"/>
        <w:rPr>
          <w:rFonts w:ascii="Arial" w:cs="Arial" w:eastAsia="Arial" w:hAnsi="Arial"/>
          <w:sz w:val="17"/>
          <w:szCs w:val="17"/>
          <w:color w:val="auto"/>
        </w:rPr>
      </w:pPr>
    </w:p>
    <w:p>
      <w:pPr>
        <w:jc w:val="both"/>
        <w:ind w:left="1060" w:hanging="424"/>
        <w:spacing w:after="0" w:line="276"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connection with the disposition or transfer of shares of common stock or any security convertible into common stock to us upon the “net” or “cashless” exercise of stock options or other equity awards outstanding as of the date of this prospectus and granted pursuant to an employee benefit plan described in this prospectus, provided that (i) such shares of common stock received upon exercise shall continue to be subject to the restrictions on transfer set forth in the lock-up agreement and (ii) no filing under Section 16(a) of the Exchange Act and no other public announcement or filing shall be required or voluntarily made during the restricted period;</w:t>
      </w:r>
    </w:p>
    <w:p>
      <w:pPr>
        <w:spacing w:after="0" w:line="77" w:lineRule="exact"/>
        <w:rPr>
          <w:rFonts w:ascii="Arial" w:cs="Arial" w:eastAsia="Arial" w:hAnsi="Arial"/>
          <w:sz w:val="17"/>
          <w:szCs w:val="17"/>
          <w:color w:val="auto"/>
        </w:rPr>
      </w:pPr>
    </w:p>
    <w:p>
      <w:pPr>
        <w:jc w:val="both"/>
        <w:ind w:left="1060" w:hanging="424"/>
        <w:spacing w:after="0" w:line="273"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exercise solely with cash of stock options outstanding as of the date of this prospectus granted under an employee benefit plan or stock purchase plan described in this prospectus, provided that (i) the shares received upon exercise shall continue to be subject to the restrictions on transfer set forth in the lock-up agreement, (ii) if required, any public report or filing under Section 16(a) of the Exchange Act shall clearly indicate in the footnotes thereto that the filing relates to the exercise of a stock option, that no shares were sold by the reporting person and that the shares received upon exercise are subject to a lock-up agreement with the underwriters, and (iii) no other public announcement or filing shall be required or voluntarily made during the restricted period;</w:t>
      </w:r>
    </w:p>
    <w:p>
      <w:pPr>
        <w:spacing w:after="0" w:line="83" w:lineRule="exact"/>
        <w:rPr>
          <w:rFonts w:ascii="Arial" w:cs="Arial" w:eastAsia="Arial" w:hAnsi="Arial"/>
          <w:sz w:val="17"/>
          <w:szCs w:val="17"/>
          <w:color w:val="auto"/>
        </w:rPr>
      </w:pPr>
    </w:p>
    <w:p>
      <w:pPr>
        <w:jc w:val="both"/>
        <w:ind w:left="1060" w:hanging="424"/>
        <w:spacing w:after="0" w:line="25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transfers of shares of common stock or other securities to us in connection with a repurchase by us pursuant to a repurchase right arising upon the termination of the transferee’s employment with us pursuant to contractual agreements with us, provided that (i) any filing required by Section 16(a) of the Exchange Act shall clearly indicate in the footnotes thereto that such transfer is being made pursuant to such repurchase right under such agreement and (ii) no other public announcement or filing shall be required or voluntarily made during the restricted period;</w:t>
      </w:r>
    </w:p>
    <w:p>
      <w:pPr>
        <w:spacing w:after="0" w:line="93" w:lineRule="exact"/>
        <w:rPr>
          <w:rFonts w:ascii="Arial" w:cs="Arial" w:eastAsia="Arial" w:hAnsi="Arial"/>
          <w:sz w:val="18"/>
          <w:szCs w:val="18"/>
          <w:color w:val="auto"/>
        </w:rPr>
      </w:pPr>
    </w:p>
    <w:p>
      <w:pPr>
        <w:jc w:val="both"/>
        <w:ind w:left="1060" w:hanging="424"/>
        <w:spacing w:after="0" w:line="259"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transfers by operation of law pursuant to a qualified domestic order or in connection with a divorce settlement, provided that (i) any filing required by Section 16(a) of the Exchange Act shall clearly indicate in the footnotes thereto that such transfer is being made pursuant to such court order and that such shares remain subject to a lock-up agreement with the underwriters, and (ii) no other public announcement or filing shall be required or voluntarily made during the restricted period;</w:t>
      </w:r>
    </w:p>
    <w:p>
      <w:pPr>
        <w:spacing w:after="0" w:line="92" w:lineRule="exact"/>
        <w:rPr>
          <w:rFonts w:ascii="Arial" w:cs="Arial" w:eastAsia="Arial" w:hAnsi="Arial"/>
          <w:sz w:val="18"/>
          <w:szCs w:val="18"/>
          <w:color w:val="auto"/>
        </w:rPr>
      </w:pPr>
    </w:p>
    <w:p>
      <w:pPr>
        <w:jc w:val="both"/>
        <w:ind w:left="1060" w:hanging="424"/>
        <w:spacing w:after="0" w:line="279"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transfers of shares of our common stock or other securities pursuant to a bona fide third-party tender offer, merger, consolidation or other similar transaction made to all holders of our common stock involving a change of control of our company that has been approved by our board of directors, provided that in the event that such tender offer, merger, consolidation or other such transaction is not completed, the securities shall continue to be subject to the restrictions on transfer set forth in the lock-up agreement;</w:t>
      </w:r>
    </w:p>
    <w:p>
      <w:pPr>
        <w:spacing w:after="0" w:line="76" w:lineRule="exact"/>
        <w:rPr>
          <w:rFonts w:ascii="Arial" w:cs="Arial" w:eastAsia="Arial" w:hAnsi="Arial"/>
          <w:sz w:val="17"/>
          <w:szCs w:val="17"/>
          <w:color w:val="auto"/>
        </w:rPr>
      </w:pPr>
    </w:p>
    <w:p>
      <w:pPr>
        <w:jc w:val="both"/>
        <w:ind w:left="1060" w:hanging="424"/>
        <w:spacing w:after="0" w:line="25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establishment or amendment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 and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60" w:hanging="424"/>
        <w:spacing w:after="0" w:line="264"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estimated 1,200 shares that may be sold upon the exercise of stock options that would otherwise expire during the lock-up period, limited to an amount to allow such optionholder to cover the exercise price of such expiring stock options, based upon an assumed initial public offering price of $15.00 per share.</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 with or without notice.</w:t>
      </w:r>
    </w:p>
    <w:p>
      <w:pPr>
        <w:spacing w:after="0" w:line="170"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such option or purchasing shares in the open market. In determining the source of shares to close out a covered short sale, the underwriters will consider, among other things, the open market price of shares compared to the price available under such option. The underwriters may also sell shares in excess of such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results of operations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88"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640" w:hanging="43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640" w:hanging="436"/>
        <w:spacing w:after="0" w:line="264"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640" w:hanging="436"/>
        <w:spacing w:after="0" w:line="308" w:lineRule="auto"/>
        <w:tabs>
          <w:tab w:leader="none" w:pos="6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jc w:val="both"/>
        <w:ind w:left="640" w:hanging="436"/>
        <w:spacing w:after="0" w:line="259" w:lineRule="auto"/>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640" w:hanging="436"/>
        <w:spacing w:after="0" w:line="277" w:lineRule="auto"/>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440" w:hanging="236"/>
        <w:spacing w:after="0"/>
        <w:tabs>
          <w:tab w:leader="none" w:pos="4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6"/>
          <w:szCs w:val="16"/>
          <w:color w:val="auto"/>
        </w:rPr>
      </w:pPr>
    </w:p>
    <w:p>
      <w:pPr>
        <w:jc w:val="both"/>
        <w:ind w:left="200" w:firstLine="4"/>
        <w:spacing w:after="0" w:line="252" w:lineRule="auto"/>
        <w:tabs>
          <w:tab w:leader="none" w:pos="47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validity of the shares of common stock offered hereby will be passed upon for us by Cooley LLP, Palo Alto, California. As of the date of this prospectus, Cooley LLP beneficially owns 25,200 shares of our common stock. In addition, as of the date of this prospectus, GC&amp;H Investments, LLC, an entity that is comprised of partners and associates of Cooley LLP, beneficially owns 17,386 shares of our preferred stock, which shares of preferred stock will be converted into 17,386 shares of common stock upon the closing of this offering. Davis Polk &amp; Wardwell LLP, Menlo Park, California, is representing the underwriters.</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Ernst &amp; Young LLP, independent registered public accounting firm, has audited our financial statements at December 31, 2016 and 2017, and for the years then ended, as set forth in their report. We have included our financial statements in the prospectus and elsewhere in the registration statement in reliance on Ernst &amp; Young LLP’s report, given on their authority as experts in accounting and auditing.</w:t>
      </w:r>
    </w:p>
    <w:p>
      <w:pPr>
        <w:spacing w:after="0" w:line="37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CHANGES IN INDEPENDENT REGISTERED PUBLIC ACCOUNTING FIRM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Dismissal of Independent Registered Public Accounting Firm</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dismissed PricewaterhouseCoopers LLP, or PwC, as our independent registered public accounting firm on December 5, 2017. The decision to dismiss PwC was approved by our board of directors.</w:t>
      </w:r>
    </w:p>
    <w:p>
      <w:pPr>
        <w:spacing w:after="0" w:line="17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report of PwC on the financial statements for 2016 contained no adverse opinion or a disclaimer of opinion, and was not qualified or modified as to uncertainty, audit scope or accounting principle.</w:t>
      </w:r>
    </w:p>
    <w:p>
      <w:pPr>
        <w:spacing w:after="0" w:line="170"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During 2016, and the subsequent period through December 5, 2017, (1) there were no disagreements (as that term is used in Item 304(a)(1)(iv) of Regulation S-K and the related instructions) between us and PwC on any matter of accounting principles or practices, financial statement disclosure, or auditing scope or procedure, which disagreements, if not resolved to the satisfaction of PwC, would have caused PwC to make reference thereto in its report on our financial statements for the year ended December 31, 2016, and (2) there were no “reportable events” as such term is defined in Item 304(a)(1)(v) of Regulation S-K, except for the material weaknesses identified in our internal control over financial reporting related to our accounting for complex transactions and our timing of recognition of research and development expenses.</w:t>
      </w:r>
    </w:p>
    <w:p>
      <w:pPr>
        <w:spacing w:after="0" w:line="17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have provided PwC with a copy of the disclosures set forth under the heading “Changes in Independent Registered Public Accounting Firm” included in this prospectus and have requested that PwC furnish a letter addressed to the SEC stating whether or not PwC agrees with statements related to them made by us under the heading “Change in Independent Registered Public Accounting Firm” in this prospectus. A copy of that letter is filed as Exhibit 16.1 to the registration statement of which this prospectus forms a part.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Newly Appointed Independent Registered Public Accounting Firm</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engaged Ernst &amp; Young LLP, or Ernst &amp; Young, as our independent registered public accounting firm on December 19, 2017 to audit our financial statements for 2016 and 2017. The decision to change our principal independent registered public accounting firm was approved by our board of directors.</w:t>
      </w:r>
    </w:p>
    <w:p>
      <w:pPr>
        <w:spacing w:after="0" w:line="18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During 2016, and the subsequent period preceding our engagement of Ernst &amp; Young as our independent registered public accounting firm, we did not consult with Ernst &amp; Young on matters that involved the application of accounting principles to a specified transaction, the type of audit opinion that might be rendered on our financial statements or any other matter that was either the subject of a disagreement or reportable event.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You can read our SEC filings, including the registration statement, over the internet at the SEC’s website at http://www.sec.gov. You may also read and copy any document we file with the SEC at its public reference room at 100 F Street, N.E., Room 1580,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7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Upon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www.fortyseveninc.com,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FINANCIAL STATEMENTS</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Years Ended December 31, 2016 and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00" w:type="dxa"/>
            <w:vAlign w:val="bottom"/>
            <w:gridSpan w:val="8"/>
            <w:vMerge w:val="restart"/>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Report of Independent Registered Public Accounting Firm</w:t>
              </w:r>
            </w:hyperlink>
          </w:p>
        </w:tc>
        <w:tc>
          <w:tcPr>
            <w:tcW w:w="58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4800" w:type="dxa"/>
            <w:vAlign w:val="bottom"/>
            <w:gridSpan w:val="8"/>
            <w:vMerge w:val="continue"/>
          </w:tcPr>
          <w:p>
            <w:pPr>
              <w:spacing w:after="0"/>
              <w:rPr>
                <w:sz w:val="13"/>
                <w:szCs w:val="13"/>
                <w:color w:val="auto"/>
              </w:rPr>
            </w:pPr>
          </w:p>
        </w:tc>
        <w:tc>
          <w:tcPr>
            <w:tcW w:w="5860" w:type="dxa"/>
            <w:vAlign w:val="bottom"/>
          </w:tcPr>
          <w:p>
            <w:pPr>
              <w:spacing w:after="0"/>
              <w:rPr>
                <w:sz w:val="13"/>
                <w:szCs w:val="13"/>
                <w:color w:val="auto"/>
              </w:rPr>
            </w:pPr>
          </w:p>
        </w:tc>
        <w:tc>
          <w:tcPr>
            <w:tcW w:w="320" w:type="dxa"/>
            <w:vAlign w:val="bottom"/>
          </w:tcPr>
          <w:p>
            <w:pPr>
              <w:ind w:left="60"/>
              <w:spacing w:after="0" w:line="142" w:lineRule="exact"/>
              <w:rPr>
                <w:sz w:val="20"/>
                <w:szCs w:val="20"/>
                <w:color w:val="auto"/>
              </w:rPr>
            </w:pPr>
            <w:r>
              <w:rPr>
                <w:rFonts w:ascii="Arial" w:cs="Arial" w:eastAsia="Arial" w:hAnsi="Arial"/>
                <w:sz w:val="16"/>
                <w:szCs w:val="16"/>
                <w:color w:val="auto"/>
                <w:w w:val="99"/>
              </w:rPr>
              <w:t>F-2</w:t>
            </w:r>
          </w:p>
        </w:tc>
        <w:tc>
          <w:tcPr>
            <w:tcW w:w="0" w:type="dxa"/>
            <w:vAlign w:val="bottom"/>
          </w:tcPr>
          <w:p>
            <w:pPr>
              <w:spacing w:after="0"/>
              <w:rPr>
                <w:sz w:val="1"/>
                <w:szCs w:val="1"/>
                <w:color w:val="auto"/>
              </w:rPr>
            </w:pPr>
          </w:p>
        </w:tc>
      </w:tr>
      <w:tr>
        <w:trPr>
          <w:trHeight w:val="236"/>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100" w:type="dxa"/>
            <w:vAlign w:val="bottom"/>
            <w:tcBorders>
              <w:bottom w:val="single" w:sz="8" w:color="0000EE"/>
            </w:tcBorders>
          </w:tcPr>
          <w:p>
            <w:pPr>
              <w:spacing w:after="0" w:line="190" w:lineRule="exact"/>
              <w:rPr>
                <w:rFonts w:ascii="Arial" w:cs="Arial" w:eastAsia="Arial" w:hAnsi="Arial"/>
                <w:sz w:val="18"/>
                <w:szCs w:val="18"/>
                <w:color w:val="0000EE"/>
                <w:w w:val="85"/>
              </w:rPr>
            </w:pPr>
            <w:hyperlink w:anchor="page165">
              <w:r>
                <w:rPr>
                  <w:rFonts w:ascii="Arial" w:cs="Arial" w:eastAsia="Arial" w:hAnsi="Arial"/>
                  <w:sz w:val="18"/>
                  <w:szCs w:val="18"/>
                  <w:color w:val="0000EE"/>
                  <w:w w:val="85"/>
                </w:rPr>
                <w:t>Balance Sheets</w:t>
              </w:r>
            </w:hyperlink>
          </w:p>
        </w:tc>
        <w:tc>
          <w:tcPr>
            <w:tcW w:w="3340" w:type="dxa"/>
            <w:vAlign w:val="bottom"/>
            <w:gridSpan w:val="6"/>
          </w:tcPr>
          <w:p>
            <w:pPr>
              <w:spacing w:after="0"/>
              <w:rPr>
                <w:sz w:val="16"/>
                <w:szCs w:val="16"/>
                <w:color w:val="auto"/>
              </w:rPr>
            </w:pPr>
          </w:p>
        </w:tc>
        <w:tc>
          <w:tcPr>
            <w:tcW w:w="5860" w:type="dxa"/>
            <w:vAlign w:val="bottom"/>
          </w:tcPr>
          <w:p>
            <w:pPr>
              <w:spacing w:after="0"/>
              <w:rPr>
                <w:sz w:val="16"/>
                <w:szCs w:val="16"/>
                <w:color w:val="auto"/>
              </w:rPr>
            </w:pPr>
          </w:p>
        </w:tc>
        <w:tc>
          <w:tcPr>
            <w:tcW w:w="320" w:type="dxa"/>
            <w:vAlign w:val="bottom"/>
          </w:tcPr>
          <w:p>
            <w:pPr>
              <w:ind w:left="60"/>
              <w:spacing w:after="0" w:line="190"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440" w:type="dxa"/>
            <w:vAlign w:val="bottom"/>
            <w:gridSpan w:val="7"/>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Statements of Operations and Comprehensive Loss</w:t>
              </w:r>
            </w:hyperlink>
          </w:p>
        </w:tc>
        <w:tc>
          <w:tcPr>
            <w:tcW w:w="586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67">
              <w:r>
                <w:rPr>
                  <w:rFonts w:ascii="Arial" w:cs="Arial" w:eastAsia="Arial" w:hAnsi="Arial"/>
                  <w:sz w:val="18"/>
                  <w:szCs w:val="18"/>
                  <w:color w:val="0000EE"/>
                  <w:w w:val="90"/>
                </w:rPr>
                <w:t>Statements of Stockholders’ Equity</w:t>
              </w:r>
            </w:hyperlink>
          </w:p>
        </w:tc>
        <w:tc>
          <w:tcPr>
            <w:tcW w:w="1120" w:type="dxa"/>
            <w:vAlign w:val="bottom"/>
            <w:tcBorders>
              <w:top w:val="single" w:sz="8" w:color="0000EE"/>
            </w:tcBorders>
          </w:tcPr>
          <w:p>
            <w:pPr>
              <w:spacing w:after="0"/>
              <w:rPr>
                <w:sz w:val="17"/>
                <w:szCs w:val="17"/>
                <w:color w:val="auto"/>
              </w:rPr>
            </w:pPr>
          </w:p>
        </w:tc>
        <w:tc>
          <w:tcPr>
            <w:tcW w:w="760" w:type="dxa"/>
            <w:vAlign w:val="bottom"/>
            <w:gridSpan w:val="2"/>
          </w:tcPr>
          <w:p>
            <w:pPr>
              <w:spacing w:after="0"/>
              <w:rPr>
                <w:sz w:val="17"/>
                <w:szCs w:val="17"/>
                <w:color w:val="auto"/>
              </w:rPr>
            </w:pPr>
          </w:p>
        </w:tc>
        <w:tc>
          <w:tcPr>
            <w:tcW w:w="586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Statements of Cash Flows</w:t>
              </w:r>
            </w:hyperlink>
          </w:p>
        </w:tc>
        <w:tc>
          <w:tcPr>
            <w:tcW w:w="2560" w:type="dxa"/>
            <w:vAlign w:val="bottom"/>
            <w:gridSpan w:val="5"/>
          </w:tcPr>
          <w:p>
            <w:pPr>
              <w:spacing w:after="0"/>
              <w:rPr>
                <w:sz w:val="17"/>
                <w:szCs w:val="17"/>
                <w:color w:val="auto"/>
              </w:rPr>
            </w:pPr>
          </w:p>
        </w:tc>
        <w:tc>
          <w:tcPr>
            <w:tcW w:w="586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440" w:type="dxa"/>
            <w:vAlign w:val="bottom"/>
            <w:gridSpan w:val="7"/>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Notes to Financial Statements</w:t>
              </w:r>
            </w:hyperlink>
          </w:p>
        </w:tc>
        <w:tc>
          <w:tcPr>
            <w:tcW w:w="586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80" w:type="dxa"/>
            <w:vAlign w:val="bottom"/>
            <w:gridSpan w:val="2"/>
          </w:tcPr>
          <w:p>
            <w:pPr>
              <w:ind w:left="5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the Stockholders and the Board of Directors of</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Forty Seven, Inc.:</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We have audited the accompanying balance sheets of Forty Seven, Inc. (the Company) as of December 31, 2016 and 2017, and the related statements of operations and comprehensive loss, stockholders’ equity, and cash flows for the years then ended, and the related notes (collectively referred to as the “financial statements”). In our opinion, the financial statements present fairly, in all material respects, the financial position of the Company at December 31, 2016 and 2017, and the results of its operations and its cash flows for the years then ended, in conformity with U.S. generally accepted accounting principles.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2017</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22, 2018, except for the last paragraph of Note 1, as to which the date is June 15, 2018</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13,624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16,988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2,484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Deferred grant funding, current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Lease-related liabilities, noncurrent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Convertible preferred stock, $0.0001 par value; 9,165,418 and 16,215,944 shares authorized as of December 31,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2016 and 2017; 4,438,691 and 16,215,896 shares issued and outstanding as of December 31, 2016 and 2017;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aggregate liquidation preference of $149,800,000 as of December 31, 2017</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34,245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149,397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$0.0001 par value: 153,123,239 and 200,000,000 shares authorized as of December 31, 2016 and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tcPr>
          <w:p>
            <w:pPr>
              <w:ind w:left="520"/>
              <w:spacing w:after="0"/>
              <w:rPr>
                <w:sz w:val="20"/>
                <w:szCs w:val="20"/>
                <w:color w:val="auto"/>
              </w:rPr>
            </w:pPr>
            <w:r>
              <w:rPr>
                <w:rFonts w:ascii="Arial" w:cs="Arial" w:eastAsia="Arial" w:hAnsi="Arial"/>
                <w:sz w:val="18"/>
                <w:szCs w:val="18"/>
                <w:color w:val="auto"/>
              </w:rPr>
              <w:t>2017; 6,643,374 and 6,751,157 shares issued and outstanding at December 31, 2016 and 2017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(24,501)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(69,399)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16,988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14,464</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Unrealized loss on available-for-sale securities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(44,942)</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1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6,197,195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6,468,634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pro forma net loss per share, basic and diluted (unaudited)</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16,197,067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of Stockholders’ Equity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 except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8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Convertible Preferred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78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06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60" w:type="dxa"/>
            <w:vAlign w:val="bottom"/>
            <w:tcBorders>
              <w:bottom w:val="single" w:sz="8" w:color="auto"/>
            </w:tcBorders>
            <w:gridSpan w:val="2"/>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right"/>
              <w:ind w:right="51"/>
              <w:spacing w:after="0" w:line="149" w:lineRule="exact"/>
              <w:rPr>
                <w:sz w:val="20"/>
                <w:szCs w:val="20"/>
                <w:color w:val="auto"/>
              </w:rPr>
            </w:pPr>
            <w:r>
              <w:rPr>
                <w:rFonts w:ascii="Arial" w:cs="Arial" w:eastAsia="Arial" w:hAnsi="Arial"/>
                <w:sz w:val="14"/>
                <w:szCs w:val="14"/>
                <w:b w:val="1"/>
                <w:bCs w:val="1"/>
                <w:color w:val="auto"/>
                <w:w w:val="96"/>
              </w:rPr>
              <w:t>Additional</w:t>
            </w:r>
          </w:p>
        </w:tc>
        <w:tc>
          <w:tcPr>
            <w:tcW w:w="132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4"/>
            <w:vMerge w:val="restart"/>
          </w:tcPr>
          <w:p>
            <w:pPr>
              <w:ind w:left="100"/>
              <w:spacing w:after="0" w:line="149"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2"/>
                <w:szCs w:val="2"/>
                <w:color w:val="auto"/>
              </w:rPr>
            </w:pPr>
          </w:p>
        </w:tc>
        <w:tc>
          <w:tcPr>
            <w:tcW w:w="7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320" w:type="dxa"/>
            <w:vAlign w:val="bottom"/>
            <w:gridSpan w:val="4"/>
            <w:vMerge w:val="continue"/>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w w:val="94"/>
              </w:rPr>
              <w:t>Paid-in Capital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2015</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3,845,145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29,655</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5,427,087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Issuance of Series A-1 convertible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w w:val="94"/>
              </w:rPr>
              <w:t>preferred shares at $7.75 per share,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net of issuance costs of $10</w:t>
            </w:r>
          </w:p>
        </w:tc>
        <w:tc>
          <w:tcPr>
            <w:tcW w:w="880" w:type="dxa"/>
            <w:vAlign w:val="bottom"/>
          </w:tcPr>
          <w:p>
            <w:pPr>
              <w:jc w:val="right"/>
              <w:spacing w:after="0"/>
              <w:rPr>
                <w:sz w:val="20"/>
                <w:szCs w:val="20"/>
                <w:color w:val="auto"/>
              </w:rPr>
            </w:pPr>
            <w:r>
              <w:rPr>
                <w:rFonts w:ascii="Arial" w:cs="Arial" w:eastAsia="Arial" w:hAnsi="Arial"/>
                <w:sz w:val="18"/>
                <w:szCs w:val="18"/>
                <w:color w:val="auto"/>
              </w:rPr>
              <w:t>593,546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4,590</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common stock related to</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Stanford license agreement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1,000,160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Issuance of common stock for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216,127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common stock</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(19,539)</w:t>
            </w: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2016</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4,438,691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34,245</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6,643,374</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(24,501)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Series A-2 convertible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 at $9.6472 per</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share, net of issuance costs of $23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4,187,682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40,377</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Issuance of Series B convertible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preferred shares at $9.8820 per</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w w:val="94"/>
              </w:rPr>
              <w:t>share, net of issuance costs of $225</w:t>
            </w:r>
          </w:p>
        </w:tc>
        <w:tc>
          <w:tcPr>
            <w:tcW w:w="880" w:type="dxa"/>
            <w:vAlign w:val="bottom"/>
          </w:tcPr>
          <w:p>
            <w:pPr>
              <w:jc w:val="right"/>
              <w:spacing w:after="0"/>
              <w:rPr>
                <w:sz w:val="20"/>
                <w:szCs w:val="20"/>
                <w:color w:val="auto"/>
              </w:rPr>
            </w:pPr>
            <w:r>
              <w:rPr>
                <w:rFonts w:ascii="Arial" w:cs="Arial" w:eastAsia="Arial" w:hAnsi="Arial"/>
                <w:sz w:val="18"/>
                <w:szCs w:val="18"/>
                <w:color w:val="auto"/>
              </w:rPr>
              <w:t>7,589,523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74,775</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for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107,783</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Vesting of restricted common stock</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early exercised stock</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16,215,896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149,397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6,751,157</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(19,539)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(44,898)</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(1,691)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grant funding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Lease-related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20"/>
                <w:szCs w:val="20"/>
                <w:color w:val="auto"/>
              </w:rPr>
            </w:pPr>
          </w:p>
        </w:tc>
        <w:tc>
          <w:tcPr>
            <w:tcW w:w="8740" w:type="dxa"/>
            <w:vAlign w:val="bottom"/>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(21,815)</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(36,937)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available-for-sale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(79,738)</w:t>
            </w:r>
          </w:p>
        </w:tc>
      </w:tr>
      <w:tr>
        <w:trPr>
          <w:trHeight w:val="223"/>
        </w:trPr>
        <w:tc>
          <w:tcPr>
            <w:tcW w:w="20" w:type="dxa"/>
            <w:vAlign w:val="bottom"/>
          </w:tcPr>
          <w:p>
            <w:pPr>
              <w:spacing w:after="0"/>
              <w:rPr>
                <w:sz w:val="19"/>
                <w:szCs w:val="19"/>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Proceeds from maturities of available-for-sale securities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(63,852)</w:t>
            </w: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115,152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115,464</w:t>
            </w:r>
          </w:p>
        </w:tc>
        <w:tc>
          <w:tcPr>
            <w:tcW w:w="120" w:type="dxa"/>
            <w:vAlign w:val="bottom"/>
            <w:shd w:val="clear" w:color="auto" w:fill="CCEEFF"/>
          </w:tcPr>
          <w:p>
            <w:pPr>
              <w:spacing w:after="0"/>
              <w:rPr>
                <w:sz w:val="18"/>
                <w:szCs w:val="18"/>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(17,892)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14,675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year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27,634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20" w:type="dxa"/>
            <w:vAlign w:val="bottom"/>
            <w:shd w:val="clear" w:color="auto" w:fill="CCEEFF"/>
          </w:tcPr>
          <w:p>
            <w:pPr>
              <w:spacing w:after="0"/>
              <w:rPr>
                <w:sz w:val="18"/>
                <w:szCs w:val="18"/>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Cash and cash equivalents — end of year</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Purchases of property and equipment through accounts payable and accrued liabilities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 Company is a clinical-stage immuno-oncology company focused on developing novel checkpoint therapies to activate macrophages in the fight against cancer. Forty Seven was founded based on the insight that blocking CD47, a key signaling molecule that is over-expressed on cancer cells, renders tumors susceptible to macrophages and the innate immune system. By harnessing macrophages, the Company believes that its lead product candidate, 5F9, dosed as a monotherapy and in combination with marketed cancer therapies, can transform the treatment of cancer. 5F9 has demonstrated promising antitumor activity in five Phase 1b/2 clinical trials in which we treated over 140 relapsed or refractory cancer patients with solid or hematologic tumors. The Company holds worldwide economic rights to all of its product candidates.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In the course of its development activities, the Company has sustained operating losses and expects to continue to generate operating losses for the foreseeable future. The Company’s ultimate success depends on the outcome of its research and development activities. The Company had cash, cash equivalents and short-term investments of $88.1 million as of December 31, 2017. Since inception through December 31, 2017, the Company has incurred cumulative net losses of $69.4 million. Management expects to incur additional losses in the future to conduct product research and development and recognizes the need to raise additional capital to fully implement its business plan.</w:t>
      </w:r>
    </w:p>
    <w:p>
      <w:pPr>
        <w:spacing w:after="0" w:line="173"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The Company intends to raise such capital through the issuance of additional equity financing and/or third-party collaboration funding. However, if such financing is not available at adequate levels, the Company will need to reevaluate its operating plan and may be required to delay the development of its products. Management considers that there are no conditions or events, in the aggregate, that raise substantial doubt about the entity’s ability to continue as a going concern for a period of at least one year from the date the financial statements are issued. The Company expects that its cash, cash equivalents and short-term investments as of December 31, 2017 will be sufficient to fund operating expenses and capital expenditure requirements through the second quarter in 2019.</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In June 2018, the Company’s board of directors approved an amended and restated certificate of incorporation to effect a reverse split of shares of the Company’s common stock and convertible preferred stock on a 1-for-7.75 basis (the “Reverse Stock Split”). The par values of the common stock and convertible preferred stock were not adjusted as a result of the Reverse Stock Split. All references to common stock, options to purchase common stock, restricted stock, share data, per share data, convertible preferred stock and related information contained in the financial statements have been retroactively adjusted to reflect this Reverse Stock Split for all periods presented. The Reverse Stock Split was effected on June 14, 2018.</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as of the date of the financial statements and the reported amounts of expenses during the reporting period. Significant estimates and assumptions made in the accompanying financial statements include but are not limited to the fair value of</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common stock, the fair value of stock options, income tax uncertainties and certain accruals.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Immediately upon the closing of this offering, all outstanding shares of convertible preferred stock will convert into common stock.</w:t>
      </w:r>
    </w:p>
    <w:p>
      <w:pPr>
        <w:spacing w:after="0" w:line="225"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Pro forma basic and diluted net loss per share has been computed to give effect to the conversion of all outstanding convertible preferred stock into shares of common stock. The unaudited pro forma net loss per share does not include the shares expected to be sold and related proceeds to be received from the initial public offering. The unaudited pro forma net loss per share for the year ended December 31, 2017 was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or their issuance dates if later.</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Cash equivalents consist primarily of amounts invested in money market accounts.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Investments have been classified as available-for-sale and are carried at estimated fair value as determined based upon quoted market prices or pricing models for similar securities. Management determines the appropriate classification of its investments in debt securities at the time of purchase. Investments with original maturities beyond three months at the date of purchase and which mature at, or less than twelve months from the balance sheet date are classified as current.</w:t>
      </w:r>
    </w:p>
    <w:p>
      <w:pPr>
        <w:spacing w:after="0" w:line="18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Unrealized gains and losses are excluded from earnings and are reported as a component of comprehensive loss. The Company periodically evaluates whether declines in fair values of its marketable securities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Additionally, the Company assesses whether it has plans to sell the security or it is more likely than not it will be required to sell any marketable securities before recovery of its amortized cost basis. Realized gains and losses and declines in fair value judged to be other than temporary, if any, on marketable securities are included in interest and other income, net. The cost of investments sold is based on the specific-identification method. There were no realized gains or losses on investments for the years ended December 31, 2016 and 2017. Interest on marketable securities is included in interest income.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risk consist of cash, cash equivalents and short-term investments. The Company’s cash, cash equivalents and short-term investments are held by one financial institution in the United States, which management believes to be of high credit quality.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Deposits in this financial institution may at times exceed federally insured limits. The Company has not experienced any losses on its deposits of cash, cash equivalents, or short-term investments.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8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Level 1—Observable inputs such as unadjusted, quoted prices in active markets for identical assets or liabilities at the measurement date;</w:t>
      </w:r>
    </w:p>
    <w:p>
      <w:pPr>
        <w:spacing w:after="0" w:line="140" w:lineRule="exact"/>
        <w:rPr>
          <w:sz w:val="20"/>
          <w:szCs w:val="20"/>
          <w:color w:val="auto"/>
        </w:rPr>
      </w:pPr>
    </w:p>
    <w:p>
      <w:pPr>
        <w:jc w:val="both"/>
        <w:ind w:left="1080"/>
        <w:spacing w:after="0" w:line="264"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73"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on a straight-line basis over the estimated useful lives of the related assets, generally three to five years. Leasehold improvements are amortized using the straight-line method over the shorter of the assets’ estimated useful lives or the remaining term of the lease. Maintenance and repairs are charged to operations as incurred. Upon sale or retirement of assets, the cost and related accumulated depreciation are removed from the balance sheet and the resulting gain or loss is reflected in operations.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Long-lived assets are reviewed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An impairment loss is recognized to the extent an asset group is not recoverable, and the carrying amount exceeds the projected discounted future cash flows arising from these assets. There were no impairments of long-lived assets for any of the periods presented.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Research and development expenses consist of costs incurred for the Company’s own and for sponsored and collaborative research and development activities. Research and development costs are expensed as incurred. Research and development costs consist of salaries and benefits, including associated stock-based compensation, and laboratory supplies and facility costs, as well as fees paid to other entities that conduct certain research and development activities on the Company’s behalf. The Company estimates preclinical study and clinical trial expenses based on the services performed pursuant to contracts with research institutions and contract research organizations, or CROs, and clinical manufacturing organizations, or CMOs, that conduct and manage preclinical</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studies and clinical trials on the Company’s behalf based on actual time and expenses incurred by them. Further, the Company accrues expenses related to clinical trials based on the level of patient activity according to the related agreement. The Company monitors patient enrollment levels and related activity to the extent reasonably possible and adjust estimates accordingly. If the Company does not identify costs that have begun to be incurred or if the Company underestimates or overestimates the level of services performed or the costs of these services, actual expenses could differ from the Company’s estimates. To date, the Company has not experienced significant changes in its estimates of preclinical studies and clinical trial accruals.</w:t>
      </w:r>
    </w:p>
    <w:p>
      <w:pPr>
        <w:spacing w:after="0" w:line="15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Company expenses payments for the acquisition and development of technology as research and development costs if, at the time of payment, the technology is under development; is not approved by the U.S. Food and Drug Administration or other regulatory agencies for marketing; has not reached technical feasibility; or otherwise has no foreseeable alternative future use. In addition, funding from research grants is offset against the related qualified research and development costs incurred.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measures its stock-based awards granted to employees and directors based on the estimated fair values of the awards and recognizes the compensation over the requisite service period. The Company uses the Black-Scholes option-pricing model to estimate the fair value of its stock-based awards. Stock-based compensation is recognized using the straight-line method.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The Company has a defined contribution retirement savings plan under Section 401(k) of the Internal Revenue Code (“IRC”). This plan allows eligible employees to defer a portion of their annual compensation on a pre-tax or after-tax basis. The Company may make discretionary matching contributions. During 2016 and 2017, the Company made matching contributions on up to 3% of an employee’s eligible compensation deferred. The Company recognized expense related to its contributions to the plan of $107,000 and $211,000 for the years ended December 31, 2016 and 2017.</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net deferred tax assets have been fully offset by a valuation allowance.</w:t>
      </w:r>
    </w:p>
    <w:p>
      <w:pPr>
        <w:spacing w:after="0" w:line="19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taxes as a component of provision for income taxes.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comprehensive loss is currently comprised of changes in unrealized losses on available-for-sale securities.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for the period, without consideration for potential dilutive shares of common stock. The weighted-average number of shares of common stock outstanding for 2016 includes 1,000,160 shares of common stock issuable under the Stanford license agreement (see Note 6) as if the shares were outstanding for the full period, as all the conditions for issuance had been satisfied in 2015. Since the Company was in a loss position for all periods presented, basic net loss per share is the same as diluted net loss per share since the effects of potentially dilutive securities are antidilutive. Shares of common stock subject to repurchase are excluded from the weighted-average shares.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Company has one operating segment. The Company’s chief operating decision maker, its Chief Executive Officer, manages the Company’s operations on a consolidated basis for the purposes of allocating resources.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 xml:space="preserve">In March 2016, the FASB issued Accounting Standards Update No. 2016-09, </w:t>
      </w:r>
      <w:r>
        <w:rPr>
          <w:rFonts w:ascii="Arial" w:cs="Arial" w:eastAsia="Arial" w:hAnsi="Arial"/>
          <w:sz w:val="17"/>
          <w:szCs w:val="17"/>
          <w:i w:val="1"/>
          <w:iCs w:val="1"/>
          <w:color w:val="auto"/>
        </w:rPr>
        <w:t>Stock Compensation—Improvements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w:t>
      </w:r>
      <w:r>
        <w:rPr>
          <w:rFonts w:ascii="Arial" w:cs="Arial" w:eastAsia="Arial" w:hAnsi="Arial"/>
          <w:sz w:val="17"/>
          <w:szCs w:val="17"/>
          <w:color w:val="auto"/>
        </w:rPr>
        <w:t>(ASU 2016-09). ASU 2016-09 was issued to simplify accounting guidance by identifying, evaluating, and improving areas for</w:t>
      </w:r>
      <w:r>
        <w:rPr>
          <w:rFonts w:ascii="Arial" w:cs="Arial" w:eastAsia="Arial" w:hAnsi="Arial"/>
          <w:sz w:val="17"/>
          <w:szCs w:val="17"/>
          <w:i w:val="1"/>
          <w:iCs w:val="1"/>
          <w:color w:val="auto"/>
        </w:rPr>
        <w:t xml:space="preserve"> </w:t>
      </w:r>
      <w:r>
        <w:rPr>
          <w:rFonts w:ascii="Arial" w:cs="Arial" w:eastAsia="Arial" w:hAnsi="Arial"/>
          <w:sz w:val="17"/>
          <w:szCs w:val="17"/>
          <w:color w:val="auto"/>
        </w:rPr>
        <w:t>which cost and complexity can be reduced while maintaining or improving the usefulness of the information provided to users of financial statements. The areas affected by ASU 2016-09 include accounting for income taxes, classification of excess tax benefits on the statement of cash flows, minimum statutory tax withholding requirements, and classification of employee taxes paid on the statement of cash flows when an employer withholds shares for tax-withholding purposes. In addition, under this guidance, an entity can make an accounting policy election to either estimate the number of awards that are expected to vest or account for forfeitures when they occur. Upon adoption of this guidance beginning with the year ended December 31, 2017, the Company changed its policy to account for forfeitures as they occur. The adoption of this guidance during the year ended December 31, 2017 did not have a material impact on the Company’s financial statements.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 xml:space="preserve">In February 2016, the FASB issued Accounting Standards Update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provides accounting guidance for both lessee and lessor accounting models. The principle of ASU 2016-02 is that a lessee should recognize the assets and liabilities that arise from leases. Lessees will need to recognize a right-of-use asset and a lease liability for virtually all of their leases (other than leases that meet the definition of a short-term lease). The liability will be equal to the present value of lease payments. The asset will be based on the liability. For income statement purposes, ASU 2016-02 requires leases to be classified as either operating or finance. Operating leases will result in straight-line expense while finance leases will result in a front-loaded expense pattern. ASU 2016-02 is effective for fiscal years beginning after December 15, 2019. Early adoption is permitted. The new standard must be adopted using a modified-retrospective transition and provides for certain practical expedients. The Company is currently evaluating the effects of the adoption of this ASU on its financial statements.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Financial Statements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measures and reports its cash equivalents and short-term investments at fair value.</w:t>
      </w:r>
    </w:p>
    <w:p>
      <w:pPr>
        <w:spacing w:after="0" w:line="22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Money market funds are measured at fair value on a recurring basis using quoted prices and are classified as a Level 1 input. Short-term investments are measured at fair value based on inputs other than quoted prices that are derived from observable market data and are classified as Level 2 inputs. There were no transfers between Levels 1, 2 or 3 for any of the periods presented. All of the investments held as of December 31, 2017 had maturities of less than one year.</w:t>
      </w:r>
    </w:p>
    <w:p>
      <w:pPr>
        <w:spacing w:after="0" w:line="187"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As of December 31, 2016, the Company held $8.6 million in money market funds (Level 1) with no unrealized gains or losses. The fair value and amortized cost of cash equivalents and available-for-sale securities by major security type as of December 31, 2017 are presented in the following table:</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w w:val="99"/>
              </w:rPr>
              <w:t>Fair Value</w:t>
            </w: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Amortized</w:t>
            </w:r>
          </w:p>
        </w:tc>
        <w:tc>
          <w:tcPr>
            <w:tcW w:w="162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9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w w:val="92"/>
              </w:rPr>
              <w:t>Hierarchy</w:t>
            </w:r>
          </w:p>
        </w:tc>
        <w:tc>
          <w:tcPr>
            <w:tcW w:w="260" w:type="dxa"/>
            <w:vAlign w:val="bottom"/>
          </w:tcPr>
          <w:p>
            <w:pPr>
              <w:spacing w:after="0"/>
              <w:rPr>
                <w:sz w:val="14"/>
                <w:szCs w:val="14"/>
                <w:color w:val="auto"/>
              </w:rPr>
            </w:pPr>
          </w:p>
        </w:tc>
        <w:tc>
          <w:tcPr>
            <w:tcW w:w="660" w:type="dxa"/>
            <w:vAlign w:val="bottom"/>
          </w:tcPr>
          <w:p>
            <w:pPr>
              <w:jc w:val="right"/>
              <w:ind w:right="119"/>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6"/>
              </w:rPr>
              <w:t>Losses</w:t>
            </w:r>
          </w:p>
        </w:tc>
        <w:tc>
          <w:tcPr>
            <w:tcW w:w="26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Level 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$ 19,052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8"/>
                <w:szCs w:val="18"/>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Level 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31,467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Level 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24,556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360" w:type="dxa"/>
            <w:vAlign w:val="bottom"/>
          </w:tcPr>
          <w:p>
            <w:pPr>
              <w:spacing w:after="0"/>
              <w:rPr>
                <w:sz w:val="18"/>
                <w:szCs w:val="18"/>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Level 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debt securities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Level 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rPr>
              <w:t>Total cash equivalents and available-for-sale securities</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$ 84,785</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Property and equipment, net consists of the following:</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w w:val="95"/>
              </w:rPr>
              <w:t>As of December 31,</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2016</w:t>
            </w: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tcPr>
          <w:p>
            <w:pPr>
              <w:jc w:val="right"/>
              <w:ind w:right="232"/>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gridSpan w:val="3"/>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Laboratory equipment</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1,749</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Less: Accumulated depreciation and amortization</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(505)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1,615</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1,358</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Depreciation and amortization expense for property and equipment amounted to $134,000 and $371,000 for the years ended December 31, 2016 and 2017.</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2016</w:t>
            </w:r>
          </w:p>
        </w:tc>
        <w:tc>
          <w:tcPr>
            <w:tcW w:w="10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$1,239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Lease-related liabilities, current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1,448</w:t>
            </w: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4,808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In August 2016, the Company entered into an operating lease agreement for its headquarters in Menlo Park, California. The lease term is for 60 months. The lease rental payments are on a graduated scale; however, rent expense is recognized on a straight-line basis over the lease term. The landlord provided the Company with a tenant improvement allowance of up to $646,000. The allowance is amortized as an offset to rent expense over the lease term. Rent expense for the years ended December 31, 2016 and 2017 was $587,000 and $993,000. At December 31, 2016 and 2017, $97,000 and $135,000 was accrued as deferred rent expense.</w:t>
      </w:r>
    </w:p>
    <w:p>
      <w:pPr>
        <w:spacing w:after="0" w:line="188"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Effective September 2016, the Company entered into a sublease agreement to lease of portion of the Menlo Park facility to a tenant. Sublease income was $62,000 and $124,000 for the years ended December 31, 2016 and 2017 and was recorded as an offset to rent expense. In conjunction with the lease agreement, the Company paid a security deposit of $353,000 included in prepaid expenses and other current assets and other assets as of December 31, 2016. The security deposit was reduced to $265,000, included in prepaid expenses and other current assets and other assets as of December 31, 2017.</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7040" w:type="dxa"/>
            <w:vAlign w:val="bottom"/>
            <w:gridSpan w:val="2"/>
          </w:tcPr>
          <w:p>
            <w:pPr>
              <w:jc w:val="right"/>
              <w:ind w:right="1150"/>
              <w:spacing w:after="0"/>
              <w:rPr>
                <w:sz w:val="20"/>
                <w:szCs w:val="20"/>
                <w:color w:val="auto"/>
              </w:rPr>
            </w:pPr>
            <w:r>
              <w:rPr>
                <w:rFonts w:ascii="Arial" w:cs="Arial" w:eastAsia="Arial" w:hAnsi="Arial"/>
                <w:sz w:val="18"/>
                <w:szCs w:val="18"/>
                <w:color w:val="auto"/>
                <w:w w:val="90"/>
              </w:rPr>
              <w:t>At December 31, 2017, future minimum payments are as follows (in thousands):</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5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700" w:type="dxa"/>
            <w:vAlign w:val="bottom"/>
            <w:shd w:val="clear" w:color="auto" w:fill="CCEEFF"/>
          </w:tcPr>
          <w:p>
            <w:pPr>
              <w:jc w:val="right"/>
              <w:ind w:right="5250"/>
              <w:spacing w:after="0"/>
              <w:rPr>
                <w:sz w:val="20"/>
                <w:szCs w:val="20"/>
                <w:color w:val="auto"/>
              </w:rPr>
            </w:pPr>
            <w:r>
              <w:rPr>
                <w:rFonts w:ascii="Arial" w:cs="Arial" w:eastAsia="Arial" w:hAnsi="Arial"/>
                <w:sz w:val="18"/>
                <w:szCs w:val="18"/>
                <w:color w:val="auto"/>
                <w:w w:val="84"/>
              </w:rPr>
              <w:t>2018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700" w:type="dxa"/>
            <w:vAlign w:val="bottom"/>
          </w:tcPr>
          <w:p>
            <w:pPr>
              <w:jc w:val="right"/>
              <w:ind w:right="5250"/>
              <w:spacing w:after="0"/>
              <w:rPr>
                <w:sz w:val="20"/>
                <w:szCs w:val="20"/>
                <w:color w:val="auto"/>
              </w:rPr>
            </w:pPr>
            <w:r>
              <w:rPr>
                <w:rFonts w:ascii="Arial" w:cs="Arial" w:eastAsia="Arial" w:hAnsi="Arial"/>
                <w:sz w:val="18"/>
                <w:szCs w:val="18"/>
                <w:color w:val="auto"/>
                <w:w w:val="84"/>
              </w:rPr>
              <w:t>2019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700" w:type="dxa"/>
            <w:vAlign w:val="bottom"/>
            <w:shd w:val="clear" w:color="auto" w:fill="CCEEFF"/>
          </w:tcPr>
          <w:p>
            <w:pPr>
              <w:jc w:val="right"/>
              <w:ind w:right="5250"/>
              <w:spacing w:after="0"/>
              <w:rPr>
                <w:sz w:val="20"/>
                <w:szCs w:val="20"/>
                <w:color w:val="auto"/>
              </w:rPr>
            </w:pPr>
            <w:r>
              <w:rPr>
                <w:rFonts w:ascii="Arial" w:cs="Arial" w:eastAsia="Arial" w:hAnsi="Arial"/>
                <w:sz w:val="18"/>
                <w:szCs w:val="18"/>
                <w:color w:val="auto"/>
                <w:w w:val="84"/>
              </w:rPr>
              <w:t>2020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700" w:type="dxa"/>
            <w:vAlign w:val="bottom"/>
          </w:tcPr>
          <w:p>
            <w:pPr>
              <w:jc w:val="right"/>
              <w:ind w:right="5250"/>
              <w:spacing w:after="0"/>
              <w:rPr>
                <w:sz w:val="20"/>
                <w:szCs w:val="20"/>
                <w:color w:val="auto"/>
              </w:rPr>
            </w:pPr>
            <w:r>
              <w:rPr>
                <w:rFonts w:ascii="Arial" w:cs="Arial" w:eastAsia="Arial" w:hAnsi="Arial"/>
                <w:sz w:val="18"/>
                <w:szCs w:val="18"/>
                <w:color w:val="auto"/>
                <w:w w:val="84"/>
              </w:rPr>
              <w:t>2021</w:t>
            </w:r>
          </w:p>
        </w:tc>
        <w:tc>
          <w:tcPr>
            <w:tcW w:w="1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700" w:type="dxa"/>
            <w:vAlign w:val="bottom"/>
            <w:shd w:val="clear" w:color="auto" w:fill="CCEEFF"/>
          </w:tcPr>
          <w:p>
            <w:pPr>
              <w:jc w:val="right"/>
              <w:ind w:right="2530"/>
              <w:spacing w:after="0"/>
              <w:rPr>
                <w:sz w:val="20"/>
                <w:szCs w:val="20"/>
                <w:color w:val="auto"/>
              </w:rPr>
            </w:pPr>
            <w:r>
              <w:rPr>
                <w:rFonts w:ascii="Arial" w:cs="Arial" w:eastAsia="Arial" w:hAnsi="Arial"/>
                <w:sz w:val="18"/>
                <w:szCs w:val="18"/>
                <w:color w:val="auto"/>
              </w:rPr>
              <w:t>Total future minimum lease payments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Manufacturing Commitment</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August 2016, the Company entered into a development and manufacturing agreement with Lonza Sales AG and, in December 2017, the Company entered into a second manufacturing agreement with Lonza Biologics Tuas Pte Ltd, each relating to the manufacturing of 5F9-related products.</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August 2016 agreement was amended by the Company in November 2017 to provide for the manufacturing of the Company’s other preclinical program related products. Under the agreements, the Company is required to pay Lonza fixed fees based on manufacturing services performed on the Company’s behalf.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Payments are due beginning in January 2018 through the expiration of the agreements in December 2021. The fees payable under the August 2016 agreement and as amended in November 2017, are specified in British Pounds and are converted into U.S. Dollars based on the exchange rate as of December 31, 2017.</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At December 31, 2017, future minimum payments under the Lonza development and manufacturing agreements are as follows, with potential payments totaling $13.1 million in 2021, subject to the Company’s right to discontinue manufacturing services (in thousands):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820" w:type="dxa"/>
            <w:vAlign w:val="bottom"/>
            <w:shd w:val="clear" w:color="auto" w:fill="CCEEFF"/>
          </w:tcPr>
          <w:p>
            <w:pPr>
              <w:jc w:val="right"/>
              <w:ind w:right="6370"/>
              <w:spacing w:after="0"/>
              <w:rPr>
                <w:sz w:val="20"/>
                <w:szCs w:val="20"/>
                <w:color w:val="auto"/>
              </w:rPr>
            </w:pPr>
            <w:r>
              <w:rPr>
                <w:rFonts w:ascii="Arial" w:cs="Arial" w:eastAsia="Arial" w:hAnsi="Arial"/>
                <w:sz w:val="18"/>
                <w:szCs w:val="18"/>
                <w:color w:val="auto"/>
                <w:w w:val="84"/>
              </w:rPr>
              <w:t>2018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60" w:type="dxa"/>
            <w:vAlign w:val="bottom"/>
            <w:shd w:val="clear" w:color="auto" w:fill="CCEEFF"/>
          </w:tcPr>
          <w:p>
            <w:pPr>
              <w:spacing w:after="0"/>
              <w:rPr>
                <w:sz w:val="18"/>
                <w:szCs w:val="18"/>
                <w:color w:val="auto"/>
              </w:rPr>
            </w:pPr>
          </w:p>
        </w:tc>
      </w:tr>
      <w:tr>
        <w:trPr>
          <w:trHeight w:val="216"/>
        </w:trPr>
        <w:tc>
          <w:tcPr>
            <w:tcW w:w="6820" w:type="dxa"/>
            <w:vAlign w:val="bottom"/>
          </w:tcPr>
          <w:p>
            <w:pPr>
              <w:jc w:val="right"/>
              <w:ind w:right="6370"/>
              <w:spacing w:after="0"/>
              <w:rPr>
                <w:sz w:val="20"/>
                <w:szCs w:val="20"/>
                <w:color w:val="auto"/>
              </w:rPr>
            </w:pPr>
            <w:r>
              <w:rPr>
                <w:rFonts w:ascii="Arial" w:cs="Arial" w:eastAsia="Arial" w:hAnsi="Arial"/>
                <w:sz w:val="18"/>
                <w:szCs w:val="18"/>
                <w:color w:val="auto"/>
                <w:w w:val="84"/>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14,411</w:t>
            </w:r>
          </w:p>
        </w:tc>
        <w:tc>
          <w:tcPr>
            <w:tcW w:w="60" w:type="dxa"/>
            <w:vAlign w:val="bottom"/>
          </w:tcPr>
          <w:p>
            <w:pPr>
              <w:spacing w:after="0"/>
              <w:rPr>
                <w:sz w:val="18"/>
                <w:szCs w:val="18"/>
                <w:color w:val="auto"/>
              </w:rPr>
            </w:pPr>
          </w:p>
        </w:tc>
      </w:tr>
      <w:tr>
        <w:trPr>
          <w:trHeight w:val="216"/>
        </w:trPr>
        <w:tc>
          <w:tcPr>
            <w:tcW w:w="6820" w:type="dxa"/>
            <w:vAlign w:val="bottom"/>
            <w:shd w:val="clear" w:color="auto" w:fill="CCEEFF"/>
          </w:tcPr>
          <w:p>
            <w:pPr>
              <w:jc w:val="right"/>
              <w:ind w:right="6370"/>
              <w:spacing w:after="0"/>
              <w:rPr>
                <w:sz w:val="20"/>
                <w:szCs w:val="20"/>
                <w:color w:val="auto"/>
              </w:rPr>
            </w:pPr>
            <w:r>
              <w:rPr>
                <w:rFonts w:ascii="Arial" w:cs="Arial" w:eastAsia="Arial" w:hAnsi="Arial"/>
                <w:sz w:val="18"/>
                <w:szCs w:val="18"/>
                <w:color w:val="auto"/>
                <w:w w:val="84"/>
              </w:rPr>
              <w:t>2020</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13,088</w:t>
            </w:r>
          </w:p>
        </w:tc>
        <w:tc>
          <w:tcPr>
            <w:tcW w:w="60" w:type="dxa"/>
            <w:vAlign w:val="bottom"/>
            <w:shd w:val="clear" w:color="auto" w:fill="CCEEFF"/>
          </w:tcPr>
          <w:p>
            <w:pPr>
              <w:spacing w:after="0"/>
              <w:rPr>
                <w:sz w:val="18"/>
                <w:szCs w:val="18"/>
                <w:color w:val="auto"/>
              </w:rPr>
            </w:pPr>
          </w:p>
        </w:tc>
      </w:tr>
      <w:tr>
        <w:trPr>
          <w:trHeight w:val="223"/>
        </w:trPr>
        <w:tc>
          <w:tcPr>
            <w:tcW w:w="6820" w:type="dxa"/>
            <w:vAlign w:val="bottom"/>
          </w:tcPr>
          <w:p>
            <w:pPr>
              <w:jc w:val="right"/>
              <w:ind w:right="4050"/>
              <w:spacing w:after="0"/>
              <w:rPr>
                <w:sz w:val="20"/>
                <w:szCs w:val="20"/>
                <w:color w:val="auto"/>
              </w:rPr>
            </w:pPr>
            <w:r>
              <w:rPr>
                <w:rFonts w:ascii="Arial" w:cs="Arial" w:eastAsia="Arial" w:hAnsi="Arial"/>
                <w:sz w:val="18"/>
                <w:szCs w:val="18"/>
                <w:color w:val="auto"/>
              </w:rPr>
              <w:t>Total future minimum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37,187</w:t>
            </w:r>
          </w:p>
        </w:tc>
        <w:tc>
          <w:tcPr>
            <w:tcW w:w="6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Research and License Agreements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Stanford License Agreement</w:t>
      </w:r>
    </w:p>
    <w:p>
      <w:pPr>
        <w:spacing w:after="0" w:line="117"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In November 2015, the Company entered into a technology license agreement with The Board of Trustees of the Leland Stanford Junior University, or Stanford, under which Stanford granted to the Company exclusive licenses under certain patents and other intellectual property rights relating to the Company’s current product candidates and non-exclusive licenses under certain other patents and intellectual property rights to develop, manufacture and commercialize products for use in certain licensed fields, including oncology. With respect to these licenses, the Company could be required to pay Stanford up to $5.6 million in milestone payments based on the achievement of certain development and regulatory approval milestones. The first such milestone payment of $75,000 was paid to Stanford in February 2018. In addition, the Company is required to pay Stanford a minimum annual fee and a royalty of single digit percentage on net sales of licensed products, reimburse patent-related expenses, share any non-royalty sublicensing income received related to the licensed technology, and pay a change of control fee.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California Institute of Regenerative Medicine (CIRM) Grants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January 2017, the Company was awarded a research grant from CIRM supporting our CRC trial. The CIRM grant stipulates various milestone-based payments to the Company with the total award of $10.2 million over a period of four years. As of December 31, 2017, the Company had received $3.8 million under the award.</w:t>
      </w:r>
    </w:p>
    <w:p>
      <w:pPr>
        <w:spacing w:after="0" w:line="181"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In November 2017, the Company was awarded a second research grant from CIRM for a separate clinical trial study in AML. The total amount of the research grant awarded was $5.0 million in various milestone-based payments over a period of five years. As of December 31, 2017, the Company had received $1.1 million under the award. Under the terms of the CIRM grants, the Company is obligated to pay royalties and licensing fees based on a low single digit royalty percentage on net sales of CIRM-funded product candidates or CIRM-funded technology. The Company has the option to decline any and all amounts awarded by CIRM. As an alternative to revenue sharing, the Company has the option to convert the award to a loan. No such election has been made as of the date of the issuance of these financial statements. In the event that the Company terminates a CIRM-funded clinical trial, it will be obligated to repay the remaining CIRM funds on hand.</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Leukemia &amp; Lymphoma Society Grant</w:t>
      </w:r>
    </w:p>
    <w:p>
      <w:pPr>
        <w:spacing w:after="0" w:line="117"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In March 2017, the Company entered into an agreement with the Leukemia &amp; Lymphoma Society, Inc. (“LLS”) regarding our NHL rituximab combination trial. The LLS research grant stipulates various milestone-based payments with a total award of $4.0 million through December 2019. As of December 31, 2017, the Company had received $1.0 million under the award. The Company could be required in the future to pay amounts to LLS upon reaching certain development and regulatory approval milestones as well as a low single digit percentage royalty rate on net sales, up to a maximum of $15 million in total.</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recognizes research grants as a reduction of research and development expense when the eligible costs are incurred.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Convertible Preferred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Convertible preferred stock consists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rPr>
              <w:t>As of December 31, 2016</w:t>
            </w: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Shares</w:t>
            </w:r>
          </w:p>
        </w:tc>
        <w:tc>
          <w:tcPr>
            <w:tcW w:w="12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5"/>
              </w:rPr>
              <w:t>Shares Issued</w:t>
            </w:r>
          </w:p>
        </w:tc>
        <w:tc>
          <w:tcPr>
            <w:tcW w:w="122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Net Carrying</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22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Authorized</w:t>
            </w:r>
          </w:p>
        </w:tc>
        <w:tc>
          <w:tcPr>
            <w:tcW w:w="24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Value</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8"/>
          </w:tcPr>
          <w:p>
            <w:pPr>
              <w:jc w:val="right"/>
              <w:ind w:right="160"/>
              <w:spacing w:after="0" w:line="142" w:lineRule="exact"/>
              <w:rPr>
                <w:sz w:val="20"/>
                <w:szCs w:val="20"/>
                <w:color w:val="auto"/>
              </w:rPr>
            </w:pPr>
            <w:r>
              <w:rPr>
                <w:rFonts w:ascii="Arial" w:cs="Arial" w:eastAsia="Arial" w:hAnsi="Arial"/>
                <w:sz w:val="14"/>
                <w:szCs w:val="14"/>
                <w:b w:val="1"/>
                <w:bCs w:val="1"/>
                <w:color w:val="auto"/>
                <w:w w:val="91"/>
              </w:rPr>
              <w:t>(In thousands, except share data)</w:t>
            </w: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4,438,709</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4,438,691</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34,245</w:t>
            </w: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Series A-2</w:t>
            </w: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9"/>
              </w:rPr>
              <w:t>4,726,709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9,165,418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4,438,691</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34,245</w:t>
            </w: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rPr>
              <w:t>As of December 31, 2017</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Shares Issued</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Net Carrying</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Aggregate</w:t>
            </w: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Authorized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8"/>
          </w:tcPr>
          <w:p>
            <w:pPr>
              <w:jc w:val="right"/>
              <w:ind w:right="100"/>
              <w:spacing w:after="0" w:line="142" w:lineRule="exact"/>
              <w:rPr>
                <w:sz w:val="20"/>
                <w:szCs w:val="20"/>
                <w:color w:val="auto"/>
              </w:rPr>
            </w:pPr>
            <w:r>
              <w:rPr>
                <w:rFonts w:ascii="Arial" w:cs="Arial" w:eastAsia="Arial" w:hAnsi="Arial"/>
                <w:sz w:val="14"/>
                <w:szCs w:val="14"/>
                <w:b w:val="1"/>
                <w:bCs w:val="1"/>
                <w:color w:val="auto"/>
                <w:w w:val="94"/>
              </w:rPr>
              <w:t>(In thousands, except share data)</w:t>
            </w: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4,438,709</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4,438,691</w:t>
            </w:r>
          </w:p>
        </w:tc>
        <w:tc>
          <w:tcPr>
            <w:tcW w:w="5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34,245</w:t>
            </w:r>
          </w:p>
        </w:tc>
        <w:tc>
          <w:tcPr>
            <w:tcW w:w="56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34,400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Series A-2</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4,187,698</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4,187,682</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40,377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40,400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7,589,537</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7,589,523</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74,775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16,215,944</w:t>
            </w:r>
          </w:p>
        </w:tc>
        <w:tc>
          <w:tcPr>
            <w:tcW w:w="360" w:type="dxa"/>
            <w:vAlign w:val="bottom"/>
            <w:gridSpan w:val="2"/>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16,215,896</w:t>
            </w:r>
          </w:p>
        </w:tc>
        <w:tc>
          <w:tcPr>
            <w:tcW w:w="3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149,397</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$ 149,800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holders of the Company’s convertible preferred stock have various rights, preferences, and privileges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Optional Conversion Rights</w:t>
      </w:r>
    </w:p>
    <w:p>
      <w:pPr>
        <w:spacing w:after="0" w:line="117"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Each share of convertible preferred stock shall be convertible, at the option of the holder, into such number of fully paid shares of common stock as is determined by dividing the Original Issue Price by the Conversion Price in effect at the time of conversion. As of December 31, 2016 and 2017, the initial conversion price per share of convertible preferred stock is equivalent to the original issue price. The original issuance price was $7.75 per share for the Series A-1 convertible preferred stock, $9.6472 per share for the Series A-2 convertible preferred stock, and $9.8820 per share for the Series B convertible preferred stock.</w:t>
      </w:r>
    </w:p>
    <w:p>
      <w:pPr>
        <w:spacing w:after="0" w:line="188"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respective applicable conversion price is subject to adjustment upon any future stock splits or stock combinations, reclassifications or exchanges of similar stock, upon a reorganization, merger or consolidation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upon the issuance or sale by the Company of common stock for consideration less than the applicable conversion price.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Mandatory Conversion Rights</w:t>
      </w:r>
    </w:p>
    <w:p>
      <w:pPr>
        <w:spacing w:after="0" w:line="117" w:lineRule="exact"/>
        <w:rPr>
          <w:sz w:val="20"/>
          <w:szCs w:val="20"/>
          <w:color w:val="auto"/>
        </w:rPr>
      </w:pPr>
    </w:p>
    <w:p>
      <w:pPr>
        <w:jc w:val="both"/>
        <w:ind w:left="200" w:firstLine="441"/>
        <w:spacing w:after="0" w:line="242" w:lineRule="auto"/>
        <w:rPr>
          <w:sz w:val="20"/>
          <w:szCs w:val="20"/>
          <w:color w:val="auto"/>
        </w:rPr>
      </w:pPr>
      <w:r>
        <w:rPr>
          <w:rFonts w:ascii="Arial" w:cs="Arial" w:eastAsia="Arial" w:hAnsi="Arial"/>
          <w:sz w:val="17"/>
          <w:szCs w:val="17"/>
          <w:color w:val="auto"/>
        </w:rPr>
        <w:t xml:space="preserve">Each share of Series A-1 and A-2 convertible preferred stock automatically converts into the number of shares of common stock determined in accordance with the conversion rate upon the earlier of (a) written consent of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then outstanding shares of Series A-1 and A-2 convertible preferred stock, voting together as a single class or (b) the closing of a public offering in which the gross cash proceeds are at least $50.0 million. Each share of Series B convertible preferred stock automatically converts into the number of shares of common stock determined in accordance with the conversion rate upon the earlier of (a) written consent of 75% of the then outstanding shares of Series B convertible preferred stock or (b) the closing of a public offering in which the gross cash proceeds are at least $50.0 million.</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The holders of the outstanding shares of convertible preferred stock are entitled to receive, when and if declared by the Board of Directors, a noncumulative cash dividend at the rate of 8% of the applicable original issue price per annum on each outstanding share of convertible preferred stock. Such dividends are payable in preference to any dividends for common stock declared by the Board of Directors. In the case of a dividend on common stock, the dividend per share of convertible preferred stock would also include the dividend payable on each share determined, if applicable, as if all convertible preferred stock had been converted to common stock. No dividends had been declared as of December 31, 2017.</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In the event of any liquidation, dissolution, or winding up of the Company, either voluntary or involuntary, the holders of convertible preferred stock shall be entitled to receive pro rata, prior and in preference to any distribution to the holders of the common stock, an amount equal to the original issuance prices of each series (in each case, as adjusted for stock splits, stock dividends or distributions, recapitalizations, and similar events) and all declared but unpaid dividends, if any. If the assets and funds to be distributed among the holders of convertible preferred stock are insufficient to permit the payment to such holders, then the entire assets and funds of the Company legally available for distribution will be distributed ratably among the holders of convertible preferred stock in proportion to the preferential amount each such holder is otherwise entitled to receive.</w:t>
      </w:r>
    </w:p>
    <w:p>
      <w:pPr>
        <w:spacing w:after="0" w:line="165"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Upon the payment of the full liquidation preference of convertible preferred stock, the remaining assets of the Company, if any, shall be distributed ratably to the holders of common stock.</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share of convertible preferred stock has a number of votes equal to the number of shares of common stock into which it is convertible.</w:t>
      </w:r>
    </w:p>
    <w:p>
      <w:pPr>
        <w:spacing w:after="0" w:line="23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The holders of convertible preferred stock, voting together as a single class, shall be entitled to elect three members of the Company’s Board of Directors. The holders of Series B convertible preferred stock have the right to elect one member of the Company’s Board of Directors. The holders of common stock have the right to elect three members of the Company’s Board of Directors and the right to designate one of the directors elected by the common stockholders as a “super-voting director” who shall have two votes. The holders of common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jc w:val="both"/>
        <w:ind w:left="200" w:right="20"/>
        <w:spacing w:after="0" w:line="254" w:lineRule="auto"/>
        <w:rPr>
          <w:sz w:val="20"/>
          <w:szCs w:val="20"/>
          <w:color w:val="auto"/>
        </w:rPr>
      </w:pPr>
      <w:r>
        <w:rPr>
          <w:rFonts w:ascii="Arial" w:cs="Arial" w:eastAsia="Arial" w:hAnsi="Arial"/>
          <w:sz w:val="18"/>
          <w:szCs w:val="18"/>
          <w:color w:val="auto"/>
        </w:rPr>
        <w:t>stock and convertible preferred stock, voting together as a single class on an as-converted basis, are entitled to elect one member of the Board of Directors. Preferred securities that are redeemable upon the occurrence of an event that is not solely within the control of the issuer are required to be classified outside of permanent equity. A preferred security may be appropriately classified in permanent equity if the preferred stockholders cannot trigger an event that gives rise to a redemption of the preferred securities. As of December 31, 2017, there were six members on the board of directors and the common stock controlled four of the seven board votes. As through December 31, 2017, representatives of the common stockholders controlled a majority of the votes on the board of directors, the Company concluded that the preferred stockholders could not trigger a redemption event. As of December 31, 2017, the convertible preferred stock was classified as permanent equity as redemption of the convertible preferred stock was in the control of the Company.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jc w:val="both"/>
        <w:ind w:left="200" w:right="20" w:firstLine="441"/>
        <w:spacing w:after="0" w:line="297" w:lineRule="auto"/>
        <w:rPr>
          <w:sz w:val="20"/>
          <w:szCs w:val="20"/>
          <w:color w:val="auto"/>
        </w:rPr>
      </w:pPr>
      <w:r>
        <w:rPr>
          <w:rFonts w:ascii="Arial" w:cs="Arial" w:eastAsia="Arial" w:hAnsi="Arial"/>
          <w:sz w:val="16"/>
          <w:szCs w:val="16"/>
          <w:color w:val="auto"/>
        </w:rPr>
        <w:t>In November 2015, the Company adopted the 2015 Equity Incentive Plan (“2015 Plan”). The 2015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Plan, options may be granted at an exercise price not less than fair market value. The Company generally grants stock-based awards with service conditions only. Options granted typically vest over a four-year period but may be granted with different vesting terms.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2016 and 2017, there were 2,276,129 shares and 3,042,573 shares reserved by the Company to grant under the 2015 Plan.</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option activity under the 2015 Plan: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gridSpan w:val="3"/>
          </w:tcPr>
          <w:p>
            <w:pPr>
              <w:jc w:val="center"/>
              <w:ind w:left="199"/>
              <w:spacing w:after="0"/>
              <w:rPr>
                <w:sz w:val="20"/>
                <w:szCs w:val="20"/>
                <w:color w:val="auto"/>
              </w:rPr>
            </w:pPr>
            <w:r>
              <w:rPr>
                <w:rFonts w:ascii="Arial" w:cs="Arial" w:eastAsia="Arial" w:hAnsi="Arial"/>
                <w:sz w:val="14"/>
                <w:szCs w:val="14"/>
                <w:b w:val="1"/>
                <w:bCs w:val="1"/>
                <w:color w:val="auto"/>
                <w:w w:val="91"/>
              </w:rPr>
              <w:t>Weighted-</w:t>
            </w:r>
          </w:p>
        </w:tc>
        <w:tc>
          <w:tcPr>
            <w:tcW w:w="5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Issuable</w:t>
            </w:r>
          </w:p>
        </w:tc>
        <w:tc>
          <w:tcPr>
            <w:tcW w:w="30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Under</w:t>
            </w:r>
          </w:p>
        </w:tc>
        <w:tc>
          <w:tcPr>
            <w:tcW w:w="30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Options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71"/>
              <w:spacing w:after="0"/>
              <w:rPr>
                <w:sz w:val="20"/>
                <w:szCs w:val="20"/>
                <w:color w:val="auto"/>
              </w:rPr>
            </w:pPr>
            <w:r>
              <w:rPr>
                <w:rFonts w:ascii="Arial" w:cs="Arial" w:eastAsia="Arial" w:hAnsi="Arial"/>
                <w:sz w:val="14"/>
                <w:szCs w:val="14"/>
                <w:b w:val="1"/>
                <w:bCs w:val="1"/>
                <w:color w:val="auto"/>
                <w:w w:val="93"/>
              </w:rPr>
              <w:t>Price</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Contract Term</w:t>
            </w:r>
          </w:p>
        </w:tc>
        <w:tc>
          <w:tcPr>
            <w:tcW w:w="15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years)</w:t>
            </w:r>
          </w:p>
        </w:tc>
        <w:tc>
          <w:tcPr>
            <w:tcW w:w="60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842,884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(216,127)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Options forfeited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1,756,056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5.08</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(107,783)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Options forfeited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(169,922)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Outstanding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2,102,528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Exercisable, December 31, 2017</w:t>
            </w: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4.21</w:t>
            </w: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9.33</w:t>
            </w: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1,064,824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2,102,528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 as of December 31, 2017. The intrinsic value of options exercised for the years ended December 31, 2016 and 2017 was $0 and $226,000, respectively.</w:t>
      </w:r>
    </w:p>
    <w:p>
      <w:pPr>
        <w:spacing w:after="0" w:line="14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During the years ended December 31, 2016 and 2017, the estimated weighted-average grant-date fair value of the options vested was $1.33 and $1.56 per share and the estimated weighted-average grant-date fair value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employee options granted was $1.33 and $3.39 per share, respectively. As of December 31, 2017, there was $5.8 million of unrecognized stock-based compensation related to unvested stock options that is expected to be recognized over a weighted-average period of 3.5 years.</w:t>
      </w:r>
    </w:p>
    <w:p>
      <w:pPr>
        <w:spacing w:after="0" w:line="14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fair value of employee and director stock option awards was estimated at the date of grant using a Black-Scholes option-pricing model with the following assumptions: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360" w:type="dxa"/>
            <w:vAlign w:val="bottom"/>
            <w:gridSpan w:val="4"/>
          </w:tcPr>
          <w:p>
            <w:pPr>
              <w:ind w:left="8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jc w:val="right"/>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 – 2.08%</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 – 2.21%</w:t>
            </w: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Dividend yield</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 fair value of the shares of common stock underlying stock options has historically been determined by the Company’s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Black-Scholes option-pricing model requires the use of highly subjective assumptions which determine the fair value of stock-based awards.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assumptions include:</w:t>
      </w:r>
    </w:p>
    <w:p>
      <w:pPr>
        <w:spacing w:after="0" w:line="103" w:lineRule="exact"/>
        <w:rPr>
          <w:sz w:val="20"/>
          <w:szCs w:val="20"/>
          <w:color w:val="auto"/>
        </w:rPr>
      </w:pPr>
    </w:p>
    <w:p>
      <w:pPr>
        <w:jc w:val="both"/>
        <w:ind w:left="1080"/>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grants is determined using the simplified method. The simplified method deems the term to be the average of the time-to-vesting and the contractual life of the stock-based awards.</w:t>
      </w:r>
    </w:p>
    <w:p>
      <w:pPr>
        <w:spacing w:after="0" w:line="73"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is privately held and does not have any trading history for its common stock,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was estimated based on the average volatility for comparable publicly traded biotechnology companies over a period equal to the expected term of the stock option grants. The comparable companies were chosen based on their similar size, stage in the life cycle or area of specialty.</w:t>
      </w:r>
    </w:p>
    <w:p>
      <w:pPr>
        <w:spacing w:after="0" w:line="79"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Expected dividend</w:t>
      </w:r>
      <w:r>
        <w:rPr>
          <w:rFonts w:ascii="Arial" w:cs="Arial" w:eastAsia="Arial" w:hAnsi="Arial"/>
          <w:sz w:val="16"/>
          <w:szCs w:val="16"/>
          <w:color w:val="auto"/>
        </w:rPr>
        <w:t>—The Company has never paid dividends on its common stock and has no plans to pay dividends on its common stock.</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Therefore, the Company used an expected dividend yield of zero.</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stock-based compensation was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20" w:type="dxa"/>
            <w:vAlign w:val="bottom"/>
            <w:gridSpan w:val="2"/>
          </w:tcPr>
          <w:p>
            <w:pPr>
              <w:jc w:val="right"/>
              <w:ind w:right="1760"/>
              <w:spacing w:after="0"/>
              <w:rPr>
                <w:sz w:val="20"/>
                <w:szCs w:val="20"/>
                <w:color w:val="auto"/>
              </w:rPr>
            </w:pPr>
            <w:r>
              <w:rPr>
                <w:rFonts w:ascii="Arial" w:cs="Arial" w:eastAsia="Arial" w:hAnsi="Arial"/>
                <w:sz w:val="18"/>
                <w:szCs w:val="18"/>
                <w:color w:val="auto"/>
              </w:rPr>
              <w:t>F-18</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 Company typically allows its employees and directors to exercise options granted under the 2015 Plan prior to vesting. The Company has also issued restricted stock awards to employees and directors under the 2015 Plan. The shares related to early exercised stock options and restricted stock awards are subject to the Company’s lapsing repurchase right upon termination of employment at the original purchase price. In order to vest, the holders are required to provide continued service to the Company. The proceeds are initially recorded in other long-term liabilities and are reclassified to common stock and paid-in capital as the repurchase right lapses. As of December 31, 2016 and 2017, there was $236,000 and $255,000 recorded in other long-term liabilities related to shares held by employees and directors that were subject to repurchase.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restricted stock activity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Restricted Shares</w:t>
            </w: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shares—As of December 31, 2015</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Early exercised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216,128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 vested</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(239,381)</w:t>
            </w: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Unvested shares—As of December 31, 2016</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299,327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Early exercised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Restricted shares vested</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(174,596)</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shares—As of December 31, 2017</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156,988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provision for income taxes for the years ended December 31, 2016 and 2017 was an immaterial amount. The Company has incurred net operating losses for all the periods presented. The Company has not reflected any benefit of such net operating loss carryforwards in the accompanying financial statements. The Company has established a full valuation allowance against its deferred tax assets due to the uncertainty surrounding the realization of such assets.</w:t>
      </w:r>
    </w:p>
    <w:p>
      <w:pPr>
        <w:spacing w:after="0" w:line="18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 reconciliation of total provision for income taxes and the amount computed by applying the federal statutory income tax rate of 21% to loss before provision from income taxes is as follows: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(6,540)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State taxes (net of federal tax benefits)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(1,111)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Increase in valuation allowance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R&amp;D tax credits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8"/>
              </w:rPr>
              <w:t>Federal rate change (pursuant to the Tax Act)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00" w:type="dxa"/>
            <w:vAlign w:val="bottom"/>
            <w:gridSpan w:val="2"/>
          </w:tcPr>
          <w:p>
            <w:pPr>
              <w:jc w:val="right"/>
              <w:ind w:right="1980"/>
              <w:spacing w:after="0"/>
              <w:rPr>
                <w:sz w:val="20"/>
                <w:szCs w:val="20"/>
                <w:color w:val="auto"/>
              </w:rPr>
            </w:pPr>
            <w:r>
              <w:rPr>
                <w:rFonts w:ascii="Arial" w:cs="Arial" w:eastAsia="Arial" w:hAnsi="Arial"/>
                <w:sz w:val="18"/>
                <w:szCs w:val="18"/>
                <w:color w:val="auto"/>
              </w:rPr>
              <w:t>F-19</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deferred tax assets and liabilities are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tcPr>
          <w:p>
            <w:pPr>
              <w:jc w:val="right"/>
              <w:ind w:right="45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Capitalized R&amp;D</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5,295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Fixed assets and intangibles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(9,496)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(19,681)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Due to the lack of earnings history, the net deferred tax assets have been fully offset by a valuation allowance. The valuation allowance increased by approximately $7.7 million and $10.2 million during the years ended December 31, 2016 and 2017.</w:t>
      </w:r>
    </w:p>
    <w:p>
      <w:pPr>
        <w:spacing w:after="0" w:line="18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Company has net operating carryforwards for federal and California income tax purposes of approximately $15.3 million and $15.6 million, respectively, as of December 31, 2017. The federal net operating loss carryforwards, if not utilized, will expire beginning in 2035. The state net operating loss carryforwards, if not utilized, will expire beginning in 2035. Under the U.S. Tax Cuts &amp; Jobs Act, passed into law in December 2017, effective January 1, 2018 (the “Tax Act”) net operating losses generated after December 31, 2017 will be carried forward indefinitely with the yearly net operating loss utilization limited to 80 percent of taxable income.</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Federal and California tax laws impose significant restrictions on the utilization of net operating loss carryforwards in the event of a change in ownership of the Company, as defined by Internal Revenue Code Section 382 (“Section 382”). The Company does not believe a change in ownership, as defined by Section 382, has occurred but a formal study has not been completed. In addition, in the future the Company may experience ownership changes, which may limit the utilization of net operating loss carryforwards or other tax attributes.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Uncertain Tax Benefits</w:t>
      </w:r>
    </w:p>
    <w:p>
      <w:pPr>
        <w:spacing w:after="0" w:line="117"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No liability related to uncertain tax positions is recorded on the financial statements related to uncertain tax positions. It is the Company’s policy to include penalties and interest expense related to income taxes as a component of interest and other income, net, as necessary.</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1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w w:val="94"/>
              </w:rPr>
              <w:t>Increases related to current year tax positions</w:t>
            </w:r>
          </w:p>
        </w:tc>
        <w:tc>
          <w:tcPr>
            <w:tcW w:w="2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93</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20" w:type="dxa"/>
            <w:vAlign w:val="bottom"/>
            <w:gridSpan w:val="2"/>
          </w:tcPr>
          <w:p>
            <w:pPr>
              <w:jc w:val="right"/>
              <w:ind w:right="2280"/>
              <w:spacing w:after="0"/>
              <w:rPr>
                <w:sz w:val="20"/>
                <w:szCs w:val="20"/>
                <w:color w:val="auto"/>
              </w:rPr>
            </w:pPr>
            <w:r>
              <w:rPr>
                <w:rFonts w:ascii="Arial" w:cs="Arial" w:eastAsia="Arial" w:hAnsi="Arial"/>
                <w:sz w:val="18"/>
                <w:szCs w:val="18"/>
                <w:color w:val="auto"/>
              </w:rPr>
              <w:t>F-20</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Notes to the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does not anticipate any significant changes to unrecognized tax benefits over the next 12 months.</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Income tax returns are filed in the United States and California. The years 2015 through 2017 remain open to examination by the domestic taxing jurisdictions to which the Company is subject. Net operating losses generated on a tax return basis by the Company for 2015 through 2017 remain open to examination by the domestic taxing jurisdictions.</w:t>
      </w:r>
    </w:p>
    <w:p>
      <w:pPr>
        <w:spacing w:after="0" w:line="181"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In December 2017, the Tax Act was signed into law. The Tax Act, among other changes, lowers the Company’s federal tax rate from 34% to 21%. Based on provisions of the Tax Act, the Company remeasured its deferred tax assets and liabilities to reflect the lower statutory tax rate. However, since the Company established a valuation allowance to offset its deferred tax assets, there is no impact to the effective tax rate, as any changes to deferred taxes would be offset by the valuation allowance. The deferred tax remeasurement is provisional and is subject to revision as the Company completes its analysis of the Tax Act, collects and prepares necessary data and interprets any additional guidance issued by standard-setting bodies. The Company currently anticipates finalizing and recording any resulting adjustments related to the tax effects of the Tax Act in 2018.</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Net Loss and Unaudited Pro Forma Net Loss Per Share</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520" w:type="dxa"/>
            <w:vAlign w:val="bottom"/>
            <w:gridSpan w:val="4"/>
          </w:tcPr>
          <w:p>
            <w:pPr>
              <w:ind w:left="6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2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2016</w:t>
            </w:r>
          </w:p>
        </w:tc>
        <w:tc>
          <w:tcPr>
            <w:tcW w:w="1440" w:type="dxa"/>
            <w:vAlign w:val="bottom"/>
            <w:tcBorders>
              <w:top w:val="single" w:sz="8" w:color="auto"/>
            </w:tcBorders>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4,438,691</w:t>
            </w: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16,215,896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624,177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2,102,528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subject to future vesting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299,327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156,988</w:t>
            </w:r>
          </w:p>
        </w:tc>
        <w:tc>
          <w:tcPr>
            <w:tcW w:w="60" w:type="dxa"/>
            <w:vAlign w:val="bottom"/>
            <w:shd w:val="clear" w:color="auto" w:fill="CCEEFF"/>
          </w:tcPr>
          <w:p>
            <w:pPr>
              <w:spacing w:after="0"/>
              <w:rPr>
                <w:sz w:val="18"/>
                <w:szCs w:val="18"/>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5,362,195</w:t>
            </w:r>
          </w:p>
        </w:tc>
        <w:tc>
          <w:tcPr>
            <w:tcW w:w="3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18,475,412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 forma Net Loss per Share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the computation of unaudited pro forma basic and diluted net loss per share during the year ended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(in thousands, except share and per share data):</w:t>
      </w:r>
    </w:p>
    <w:p>
      <w:pPr>
        <w:spacing w:after="0" w:line="217"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loss, basic and diluted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(44,898)</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6,468,634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reflect assumed conversion of convertible preferred stock</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9,728,432</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Shares used in computing pro forma net loss per share, basic and diluted</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16,197,067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4500"/>
              <w:spacing w:after="0"/>
              <w:rPr>
                <w:sz w:val="20"/>
                <w:szCs w:val="20"/>
                <w:color w:val="auto"/>
              </w:rPr>
            </w:pPr>
            <w:r>
              <w:rPr>
                <w:rFonts w:ascii="Arial" w:cs="Arial" w:eastAsia="Arial" w:hAnsi="Arial"/>
                <w:sz w:val="18"/>
                <w:szCs w:val="18"/>
                <w:color w:val="auto"/>
              </w:rPr>
              <w:t>F-21</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Related-Party Relationship</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Dr. Weissman and Dr. Majeti, co-founders and members of the Company’s board of directors, are professors at Stanford. While employed by Stanford, Dr. Weissman was a co-inventor of some of the patents that the Company licenses under the Stanford License Agreement. Under Stanford’s policies, as a co-inventor Dr. Weissman is entitled to receive a share of any royalties that the Company pays to Stanford under the agreement with respect to the covered intellectual property. No royalty payments have been made to date.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Except for the Reverse Stock Split described in Note 1, subsequent events have been evaluated through March 22, 2018, which is the date that the financial statements were available to be issued.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UNAUDITED INTERIM CONDENSED FINANCIAL STATEMENTS</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Three Months Ended March 31, 2017 and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120" w:type="dxa"/>
            <w:vAlign w:val="bottom"/>
            <w:gridSpan w:val="6"/>
            <w:vMerge w:val="restart"/>
          </w:tcPr>
          <w:p>
            <w:pPr>
              <w:spacing w:after="0"/>
              <w:rPr>
                <w:sz w:val="20"/>
                <w:szCs w:val="20"/>
                <w:color w:val="auto"/>
              </w:rPr>
            </w:pPr>
            <w:r>
              <w:rPr>
                <w:rFonts w:ascii="Arial" w:cs="Arial" w:eastAsia="Arial" w:hAnsi="Arial"/>
                <w:sz w:val="18"/>
                <w:szCs w:val="18"/>
                <w:color w:val="auto"/>
              </w:rPr>
              <w:t>Unaudited Interim Financial Statements:</w:t>
            </w:r>
          </w:p>
        </w:tc>
        <w:tc>
          <w:tcPr>
            <w:tcW w:w="5460" w:type="dxa"/>
            <w:vAlign w:val="bottom"/>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5120" w:type="dxa"/>
            <w:vAlign w:val="bottom"/>
            <w:gridSpan w:val="6"/>
            <w:vMerge w:val="continue"/>
          </w:tcPr>
          <w:p>
            <w:pPr>
              <w:spacing w:after="0"/>
              <w:rPr>
                <w:sz w:val="15"/>
                <w:szCs w:val="15"/>
                <w:color w:val="auto"/>
              </w:rPr>
            </w:pPr>
          </w:p>
        </w:tc>
        <w:tc>
          <w:tcPr>
            <w:tcW w:w="5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4760" w:type="dxa"/>
            <w:vAlign w:val="bottom"/>
            <w:gridSpan w:val="5"/>
          </w:tcPr>
          <w:p>
            <w:pPr>
              <w:spacing w:after="0" w:line="190" w:lineRule="exact"/>
              <w:rPr>
                <w:rFonts w:ascii="Arial" w:cs="Arial" w:eastAsia="Arial" w:hAnsi="Arial"/>
                <w:sz w:val="18"/>
                <w:szCs w:val="18"/>
                <w:color w:val="0000EE"/>
              </w:rPr>
            </w:pPr>
            <w:hyperlink w:anchor="page186">
              <w:r>
                <w:rPr>
                  <w:rFonts w:ascii="Arial" w:cs="Arial" w:eastAsia="Arial" w:hAnsi="Arial"/>
                  <w:sz w:val="18"/>
                  <w:szCs w:val="18"/>
                  <w:color w:val="0000EE"/>
                </w:rPr>
                <w:t>Condensed Balance Sheets</w:t>
              </w:r>
            </w:hyperlink>
          </w:p>
        </w:tc>
        <w:tc>
          <w:tcPr>
            <w:tcW w:w="5460" w:type="dxa"/>
            <w:vAlign w:val="bottom"/>
          </w:tcPr>
          <w:p>
            <w:pPr>
              <w:spacing w:after="0"/>
              <w:rPr>
                <w:sz w:val="16"/>
                <w:szCs w:val="16"/>
                <w:color w:val="auto"/>
              </w:rPr>
            </w:pPr>
          </w:p>
        </w:tc>
        <w:tc>
          <w:tcPr>
            <w:tcW w:w="400" w:type="dxa"/>
            <w:vAlign w:val="bottom"/>
          </w:tcPr>
          <w:p>
            <w:pPr>
              <w:ind w:left="60"/>
              <w:spacing w:after="0" w:line="190" w:lineRule="exact"/>
              <w:rPr>
                <w:sz w:val="20"/>
                <w:szCs w:val="20"/>
                <w:color w:val="auto"/>
              </w:rPr>
            </w:pPr>
            <w:r>
              <w:rPr>
                <w:rFonts w:ascii="Arial" w:cs="Arial" w:eastAsia="Arial" w:hAnsi="Arial"/>
                <w:sz w:val="18"/>
                <w:szCs w:val="18"/>
                <w:color w:val="auto"/>
                <w:w w:val="86"/>
              </w:rPr>
              <w:t>F-24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87">
              <w:r>
                <w:rPr>
                  <w:rFonts w:ascii="Arial" w:cs="Arial" w:eastAsia="Arial" w:hAnsi="Arial"/>
                  <w:sz w:val="18"/>
                  <w:szCs w:val="18"/>
                  <w:color w:val="0000EE"/>
                  <w:w w:val="88"/>
                </w:rPr>
                <w:t>Condensed Statements of Operations and Comprehensive Loss</w:t>
              </w:r>
            </w:hyperlink>
          </w:p>
        </w:tc>
        <w:tc>
          <w:tcPr>
            <w:tcW w:w="2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760" w:type="dxa"/>
            <w:vAlign w:val="bottom"/>
            <w:gridSpan w:val="5"/>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Condensed Statements of Cash Flows</w:t>
              </w:r>
            </w:hyperlink>
          </w:p>
        </w:tc>
        <w:tc>
          <w:tcPr>
            <w:tcW w:w="5460" w:type="dxa"/>
            <w:vAlign w:val="bottom"/>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F-26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760" w:type="dxa"/>
            <w:vAlign w:val="bottom"/>
            <w:gridSpan w:val="5"/>
          </w:tcPr>
          <w:p>
            <w:pPr>
              <w:spacing w:after="0" w:line="196" w:lineRule="exact"/>
              <w:rPr>
                <w:rFonts w:ascii="Arial" w:cs="Arial" w:eastAsia="Arial" w:hAnsi="Arial"/>
                <w:sz w:val="18"/>
                <w:szCs w:val="18"/>
                <w:color w:val="0000EE"/>
                <w:w w:val="97"/>
              </w:rPr>
            </w:pPr>
            <w:hyperlink w:anchor="page189">
              <w:r>
                <w:rPr>
                  <w:rFonts w:ascii="Arial" w:cs="Arial" w:eastAsia="Arial" w:hAnsi="Arial"/>
                  <w:sz w:val="18"/>
                  <w:szCs w:val="18"/>
                  <w:color w:val="0000EE"/>
                  <w:w w:val="97"/>
                </w:rPr>
                <w:t>Notes to Unaudited Interim Condensed Financial Statements</w:t>
              </w:r>
            </w:hyperlink>
          </w:p>
        </w:tc>
        <w:tc>
          <w:tcPr>
            <w:tcW w:w="5460" w:type="dxa"/>
            <w:vAlign w:val="bottom"/>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F-27</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gridSpan w:val="2"/>
          </w:tcPr>
          <w:p>
            <w:pPr>
              <w:ind w:left="220"/>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63,694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92,561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81,880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3,705</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Deferred grant funding, current</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Lease-related liabilities, noncurrent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w w:val="97"/>
              </w:rPr>
              <w:t>Convertible preferred stock, $0.0001 par value; 16,215,944 shares authorized as of March 31, 2018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w w:val="97"/>
              </w:rPr>
              <w:t>(unaudited); 16,215,896 shares issued and outstanding as of March 31, 2018 (unaudited), actual;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aggregate liquidation preference of $149,800,000 as of March 31, 2018 (unaudited), actual; no</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shares issued and outstanding as of March 31, 2018, pro forma (unaudited)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149,397</w:t>
            </w:r>
          </w:p>
        </w:tc>
        <w:tc>
          <w:tcPr>
            <w:tcW w:w="2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ind w:left="340"/>
              <w:spacing w:after="0" w:line="201" w:lineRule="exact"/>
              <w:rPr>
                <w:sz w:val="20"/>
                <w:szCs w:val="20"/>
                <w:color w:val="auto"/>
              </w:rPr>
            </w:pPr>
            <w:r>
              <w:rPr>
                <w:rFonts w:ascii="Arial" w:cs="Arial" w:eastAsia="Arial" w:hAnsi="Arial"/>
                <w:sz w:val="18"/>
                <w:szCs w:val="18"/>
                <w:color w:val="auto"/>
                <w:w w:val="94"/>
              </w:rPr>
              <w:t>Convertible preferred stock, $0.0001 par value; 16,215,944 shares authorized as of December 31,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2017; 16,215,896 shares issued and outstanding as of December 31, 2017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149,397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$0.0001 par value: 200,000,000 shares authorized as of December 31, 2017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March 31, 2018 (unaudited); 6,751,157 and 6,709,207 shares issued and outstanding as of</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December 31, 2017 and March 31, 2018 (unaudited), actual; 22,925,103 shares issued 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as of March 31, 2018, pro forma (unaudited)</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153,347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(69,399)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(84,174)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(84,174)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(80,293)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Total liabilities, convertible preferred stock and stockholders’ equity (deficit)</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(1)</w:t>
        <w:tab/>
        <w:t>The balance sheet as of December 31, 2017 was derived from the audited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9,181</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10,942</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Unrealized loss on available-for-sale securities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(14,802)</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1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6,377,009</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6,600,407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basic and diluted</w:t>
            </w: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pro forma net loss per share, basic and diluted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22,816,303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jc w:val="center"/>
        <w:ind w:left="90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(10,908)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Accretion of premium/discount on marketable securities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Deferred grant funding</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Lease-related liabilities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Other long-term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(9,216)</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Purchases of available-for-sale securities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(20,003)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maturities of available-for-sale securities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060"/>
              <w:spacing w:after="0"/>
              <w:rPr>
                <w:sz w:val="20"/>
                <w:szCs w:val="20"/>
                <w:color w:val="auto"/>
              </w:rPr>
            </w:pPr>
            <w:r>
              <w:rPr>
                <w:rFonts w:ascii="Arial" w:cs="Arial" w:eastAsia="Arial" w:hAnsi="Arial"/>
                <w:sz w:val="18"/>
                <w:szCs w:val="18"/>
                <w:color w:val="auto"/>
              </w:rPr>
              <w:t>Net cash (used in) provided by investing activities</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(20,029)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40,377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deferred offering costs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40,377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24,417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27,742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offering costs included in accrued liabilities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The Company is a clinical-stage immuno-oncology company focused on developing novel checkpoint therapies to activate macrophages in the fight against cancer. Forty Seven was founded based on the insight that blocking CD47, a key signaling molecule that is over-expressed on cancer cells, renders tumors susceptible to macrophages and the innate immune system. By harnessing macrophages, the Company believes that its lead product candidate, 5F9, dosed as a monotherapy and in combination with marketed cancer therapies, can transform the treatment of cancer.</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In the course of its development activities, the Company has sustained operating losses and expects to continue to generate operating losses for the foreseeable future. The Company’s ultimate success depends on the outcome of its research and development activities. The Company had cash, cash equivalents and short-term investments of $78.4 million as of March 31, 2018. Since inception through March 31, 2018, the Company has incurred cumulative net losses of $84.2 million. Management expects to incur additional losses in the future to conduct product research and development and recognizes the need to raise additional capital to fully implement its business plan.</w:t>
      </w:r>
    </w:p>
    <w:p>
      <w:pPr>
        <w:spacing w:after="0" w:line="17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Company intends to raise such capital through the issuance of additional equity financing and/or third-party collaboration funding. However, if such financing is not available at adequate levels, the Company will need to reevaluate its operating plan and may be required to delay the development of its products. The Company expects that its cash, cash equivalents and short-term investments as of March 31, 2018 will be sufficient to fund operating expenses and capital expenditure requirements for a period of at least one year from the date the unaudited financial statements are issued.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In June 2018, the Company’s board of directors approved an amended and restated certificate of incorporation to effect a reverse split of shares of the Company’s common stock and convertible preferred stock on a 1-for-7.75 basis (the “Reverse Stock Split”). The par values of the common stock and convertible preferred stock were not adjusted as a result of the Reverse Stock Split. All references to common stock, options to purchase common stock, restricted stock, share data, per share data, convertible preferred stock and related information contained in the financial statements have been retroactively adjusted to reflect this Reverse Stock Split for all periods presented. The Reverse Stock Split was effected on June 14, 2018.</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117"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The interim condensed balance sheet as of March 31, 2018, and the condensed statements of operations and comprehensive loss and cash flows for the three months ended March 31, 2017 and 2018 are unaudited. The unaudited interim condensed financial statements have been prepared on the same basis as the annual financial statements and, in the opinion of management, reflect all adjustments, which include only normal recurring adjustments, necessary to present fairly the Company’s financial position as of March 31, 2018 and its results of operations and cash flows for the three months ended March 31, 2017 and 2018. The financial data and the other financial information contained in these notes to the condensed financial statements related to the three-month periods are also unaudited. The results of operations for the three months ended March 31, 2018 are not necessarily indicative of the results to be expected for the year ending December 31, 2018 or for any other future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162"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annual or interim period. These condensed financial statements should be read in conjunction with the Company’s audited financial statements included elsewhere in this prospectus.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as of the date of the financial statements and the reported amounts of expenses during the reporting period. Significant estimates and assumptions made in the accompanying financial statements include but are not limited to the fair value of common stock, the fair value of stock options, income tax uncertainties, and certain accruals.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Immediately upon the closing of this offering, all outstanding shares of convertible preferred stock will convert into common stock. Unaudited pro forma balance sheet information as of March 31, 2018 assumes the conversion of all outstanding convertible preferred stock into shares of common stock. The shares of common stock issuable and the proceeds expected to be received in the Company’s anticipated initial public offering (the “IPO”) are excluded from such pro forma financial information.</w:t>
      </w:r>
    </w:p>
    <w:p>
      <w:pPr>
        <w:spacing w:after="0" w:line="18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Pro forma basic and diluted net loss per share has been computed to give effect to the conversion of all outstanding convertible preferred stock into shares of common stock. The unaudited pro forma net loss per share does not include the shares expected to be sold and related proceeds to be received from the initial public offering. The unaudited pro forma net loss per share for the three months ended March 31, 2018 was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or their issuance dates if later.</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8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Level 1—Observable inputs such as unadjusted, quoted prices in active markets for identical assets or liabilities at the measurement date;</w:t>
      </w:r>
    </w:p>
    <w:p>
      <w:pPr>
        <w:spacing w:after="0" w:line="140" w:lineRule="exact"/>
        <w:rPr>
          <w:sz w:val="20"/>
          <w:szCs w:val="20"/>
          <w:color w:val="auto"/>
        </w:rPr>
      </w:pPr>
    </w:p>
    <w:p>
      <w:pPr>
        <w:jc w:val="both"/>
        <w:ind w:left="1080"/>
        <w:spacing w:after="0" w:line="264"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73"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Offering costs, consisting of legal, accounting, printer and filing fees related to the IPO are deferred and will be offset against proceeds from the IPO upon the effectiveness of the offering. In the event the offering is terminated, all deferred offering costs will be expensed. As of March 31, 2018, $1.3 million of deferred offering costs were recorded as other assets in the accompanying condensed balance sheet. There were no deferred offering costs recorded as of December 31,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measures and reports its cash equivalents and short-term investments at fair value.</w:t>
      </w:r>
    </w:p>
    <w:p>
      <w:pPr>
        <w:spacing w:after="0" w:line="225"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Money market funds are measured at fair value on a recurring basis using quoted prices and are classified as a Level 1 input. Short-term investments are measured at fair value based on inputs other than quoted prices that are derived from observable market data and are classified as Level 2 inputs. There were no transfers between Levels 1, 2 or 3 for any of the periods presented. All of the investments held as of December 31, 2017 and March 31, 2018 had maturities of less than one year. There were no realized gains or losses on investments for the three months ended March 31, 2017 and 2018.</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fair value and amortized cost of cash equivalents and available-for-sale securities by major security type as of December 31, 2017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31, 2018 are presented in the following tables: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w w:val="99"/>
              </w:rPr>
              <w:t>Fair Value</w:t>
            </w:r>
          </w:p>
        </w:tc>
        <w:tc>
          <w:tcPr>
            <w:tcW w:w="920" w:type="dxa"/>
            <w:vAlign w:val="bottom"/>
            <w:gridSpan w:val="2"/>
          </w:tcPr>
          <w:p>
            <w:pPr>
              <w:jc w:val="center"/>
              <w:ind w:left="154"/>
              <w:spacing w:after="0" w:line="119" w:lineRule="exact"/>
              <w:rPr>
                <w:sz w:val="20"/>
                <w:szCs w:val="20"/>
                <w:color w:val="auto"/>
              </w:rPr>
            </w:pPr>
            <w:r>
              <w:rPr>
                <w:rFonts w:ascii="Arial" w:cs="Arial" w:eastAsia="Arial" w:hAnsi="Arial"/>
                <w:sz w:val="13"/>
                <w:szCs w:val="13"/>
                <w:b w:val="1"/>
                <w:bCs w:val="1"/>
                <w:color w:val="auto"/>
              </w:rPr>
              <w:t>Amortized</w:t>
            </w:r>
          </w:p>
        </w:tc>
        <w:tc>
          <w:tcPr>
            <w:tcW w:w="1640" w:type="dxa"/>
            <w:vAlign w:val="bottom"/>
            <w:gridSpan w:val="4"/>
          </w:tcPr>
          <w:p>
            <w:pPr>
              <w:jc w:val="right"/>
              <w:ind w:right="460"/>
              <w:spacing w:after="0" w:line="119" w:lineRule="exact"/>
              <w:rPr>
                <w:sz w:val="20"/>
                <w:szCs w:val="20"/>
                <w:color w:val="auto"/>
              </w:rPr>
            </w:pPr>
            <w:r>
              <w:rPr>
                <w:rFonts w:ascii="Arial" w:cs="Arial" w:eastAsia="Arial" w:hAnsi="Arial"/>
                <w:sz w:val="13"/>
                <w:szCs w:val="13"/>
                <w:b w:val="1"/>
                <w:bCs w:val="1"/>
                <w:color w:val="auto"/>
              </w:rPr>
              <w:t>Unrealized</w:t>
            </w:r>
          </w:p>
        </w:tc>
        <w:tc>
          <w:tcPr>
            <w:tcW w:w="104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w w:val="92"/>
              </w:rPr>
              <w:t>Hierarchy</w:t>
            </w:r>
          </w:p>
        </w:tc>
        <w:tc>
          <w:tcPr>
            <w:tcW w:w="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Losses</w:t>
            </w:r>
          </w:p>
        </w:tc>
        <w:tc>
          <w:tcPr>
            <w:tcW w:w="26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Level 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$ 19,052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8"/>
                <w:szCs w:val="18"/>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Level 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31,467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Level 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800" w:type="dxa"/>
            <w:vAlign w:val="bottom"/>
          </w:tcPr>
          <w:p>
            <w:pPr>
              <w:spacing w:after="0"/>
              <w:rPr>
                <w:sz w:val="18"/>
                <w:szCs w:val="18"/>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Level 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debt securities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Level 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Total cash equivalents and available-for-sale securities</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84,785</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31, 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w w:val="99"/>
              </w:rPr>
              <w:t>Fair Value</w:t>
            </w:r>
          </w:p>
        </w:tc>
        <w:tc>
          <w:tcPr>
            <w:tcW w:w="920" w:type="dxa"/>
            <w:vAlign w:val="bottom"/>
            <w:gridSpan w:val="2"/>
          </w:tcPr>
          <w:p>
            <w:pPr>
              <w:jc w:val="center"/>
              <w:ind w:left="154"/>
              <w:spacing w:after="0" w:line="119" w:lineRule="exact"/>
              <w:rPr>
                <w:sz w:val="20"/>
                <w:szCs w:val="20"/>
                <w:color w:val="auto"/>
              </w:rPr>
            </w:pPr>
            <w:r>
              <w:rPr>
                <w:rFonts w:ascii="Arial" w:cs="Arial" w:eastAsia="Arial" w:hAnsi="Arial"/>
                <w:sz w:val="13"/>
                <w:szCs w:val="13"/>
                <w:b w:val="1"/>
                <w:bCs w:val="1"/>
                <w:color w:val="auto"/>
              </w:rPr>
              <w:t>Amortized</w:t>
            </w:r>
          </w:p>
        </w:tc>
        <w:tc>
          <w:tcPr>
            <w:tcW w:w="1640" w:type="dxa"/>
            <w:vAlign w:val="bottom"/>
            <w:gridSpan w:val="4"/>
          </w:tcPr>
          <w:p>
            <w:pPr>
              <w:jc w:val="right"/>
              <w:ind w:right="460"/>
              <w:spacing w:after="0" w:line="119" w:lineRule="exact"/>
              <w:rPr>
                <w:sz w:val="20"/>
                <w:szCs w:val="20"/>
                <w:color w:val="auto"/>
              </w:rPr>
            </w:pPr>
            <w:r>
              <w:rPr>
                <w:rFonts w:ascii="Arial" w:cs="Arial" w:eastAsia="Arial" w:hAnsi="Arial"/>
                <w:sz w:val="13"/>
                <w:szCs w:val="13"/>
                <w:b w:val="1"/>
                <w:bCs w:val="1"/>
                <w:color w:val="auto"/>
              </w:rPr>
              <w:t>Unrealized</w:t>
            </w:r>
          </w:p>
        </w:tc>
        <w:tc>
          <w:tcPr>
            <w:tcW w:w="104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w w:val="92"/>
              </w:rPr>
              <w:t>Hierarchy</w:t>
            </w:r>
          </w:p>
        </w:tc>
        <w:tc>
          <w:tcPr>
            <w:tcW w:w="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Losses</w:t>
            </w:r>
          </w:p>
        </w:tc>
        <w:tc>
          <w:tcPr>
            <w:tcW w:w="26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Level 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$ 13,844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8"/>
                <w:szCs w:val="18"/>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Level 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29,477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Level 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15,595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800" w:type="dxa"/>
            <w:vAlign w:val="bottom"/>
          </w:tcPr>
          <w:p>
            <w:pPr>
              <w:spacing w:after="0"/>
              <w:rPr>
                <w:sz w:val="18"/>
                <w:szCs w:val="18"/>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Level 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debt securities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Level 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Total cash equivalents and available-for-sale securities</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75,102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00" w:type="dxa"/>
            <w:vAlign w:val="bottom"/>
            <w:gridSpan w:val="2"/>
            <w:vMerge w:val="restart"/>
          </w:tcPr>
          <w:p>
            <w:pPr>
              <w:jc w:val="right"/>
              <w:ind w:right="756"/>
              <w:spacing w:after="0"/>
              <w:rPr>
                <w:sz w:val="20"/>
                <w:szCs w:val="20"/>
                <w:color w:val="auto"/>
              </w:rPr>
            </w:pPr>
            <w:r>
              <w:rPr>
                <w:rFonts w:ascii="Arial" w:cs="Arial" w:eastAsia="Arial" w:hAnsi="Arial"/>
                <w:sz w:val="18"/>
                <w:szCs w:val="18"/>
                <w:color w:val="auto"/>
              </w:rPr>
              <w:t>F-29</w:t>
            </w: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158" w:lineRule="exact"/>
        <w:rPr>
          <w:sz w:val="20"/>
          <w:szCs w:val="20"/>
          <w:color w:val="auto"/>
        </w:rPr>
      </w:pPr>
    </w:p>
    <w:p>
      <w:pPr>
        <w:jc w:val="center"/>
        <w:ind w:right="8560"/>
        <w:spacing w:after="0"/>
        <w:rPr>
          <w:sz w:val="20"/>
          <w:szCs w:val="20"/>
          <w:color w:val="auto"/>
        </w:rPr>
      </w:pPr>
      <w:r>
        <w:rPr>
          <w:rFonts w:ascii="Arial" w:cs="Arial" w:eastAsia="Arial" w:hAnsi="Arial"/>
          <w:sz w:val="18"/>
          <w:szCs w:val="18"/>
          <w:b w:val="1"/>
          <w:bCs w:val="1"/>
          <w:color w:val="auto"/>
        </w:rPr>
        <w:t>4. Balance Sheet Components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 of the following:</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20" w:type="dxa"/>
            <w:vAlign w:val="bottom"/>
            <w:gridSpan w:val="4"/>
          </w:tcPr>
          <w:p>
            <w:pPr>
              <w:ind w:left="1400"/>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ind w:left="5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15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Accrued offering costs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Lease-related liabilities, current</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accrued liabilities</w:t>
            </w:r>
          </w:p>
        </w:tc>
        <w:tc>
          <w:tcPr>
            <w:tcW w:w="15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Research and License Agreements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Stanford License Agreement</w:t>
      </w:r>
    </w:p>
    <w:p>
      <w:pPr>
        <w:spacing w:after="0" w:line="117"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color w:val="auto"/>
        </w:rPr>
        <w:t>In November 2015, the Company entered into a technology license agreement with The Board of Trustees of the Leland Stanford Junior University, or Stanford, under which Stanford granted to the Company exclusive licenses under certain patents and other intellectual property rights relating to the Company’s current product candidates and non-exclusive licenses under certain other patents and intellectual property rights to develop, manufacture and commercialize products for use in certain licensed fields, the scope of which would include the application of the licensed intellectual property in oncology. With respect to these licenses, the Company could be required to pay Stanford up to $5.6 million in milestone payments based on the achievement of certain development and regulatory approval milestones. The first such milestone payment of $75,000 was paid to Stanford in February 2018 and included in research and development expense for the three months ended March 31, 2018. In addition, the Company is required to pay Stanford a minimum annual fee and a royalty of single digit percentage on net sales of licensed products, reimburse patent-related expenses, share any non-royalty sublicensing income received related to the licensed technology, and pay a change of control fee.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California Institute of Regenerative Medicine (CIRM) Grants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January 2017, the Company was awarded a research grant from CIRM. The CIRM grant stipulates various milestone-based payments to the Company with the total award of $10.2 million over a period of four years. As of December 31, 2017 and March 31, 2018, the Company had received $3.8 million and $7.2 million under the award.</w:t>
      </w:r>
    </w:p>
    <w:p>
      <w:pPr>
        <w:spacing w:after="0" w:line="181"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In November 2017, the Company was awarded a second research grant from CIRM for a separate clinical trial study. The total amount of the research grant awarded was $5.0 million in various milestone-based payments over a period of five years. As of December 31, 2017 and March 31, 2018, the Company had received $1.1 million and $2.1 million under the award. Under the terms of the CIRM grants, the Company is obligated to pay royalties and licensing fees based on a low single digit royalty percentage on net sales of CIRM-funded product candidates or CIRM-funded technology. The Company has the option to decline any and all amounts awarded by CIRM. As an alternative to revenue sharing, the Company has the option to convert the award to a loan. No such election has been made as of the date of the issuance of these financial statements. In the event that</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terminates a CIRM-funded clinical trial, it will be obligated to repay the remaining CIRM funds on hand.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Leukemia &amp; Lymphoma Society Grant</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In March 2017, the Company entered into an agreement with the Leukemia &amp; Lymphoma Society, Inc. (“LLS”). The LLS research grant stipulates various milestone-based payments with a total award of $4.0 million through December 2019. As of December 31, 2017 and March 31, 2018, the Company had received $1.0 million and $2.3 million under the award. The Company could be required in the future to pay amounts to LLS upon reaching certain development and regulatory approval milestones as well as a low single digit percentage royalty rate on net sales, up to a maximum of $15 million in total.</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recognizes research grants as a reduction of research and development expense when the eligible costs are incurred. For the three months ended March 31, 2017 and 2018, the Company recognized $0.6 million and $1.5 million as a reduction to research and development expense for research grants.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Merck Collaboration Agreement</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In January 2018, the Company entered into a clinical trial collaboration and supply agreement with Ares Trading S.A, a subsidiary of Merck KGaA (“Merck”), to evaluate 5F9 combined with Merck’s cancer immunotherapy, avelumab, in a Phase 1b clinical trial in patients with ovarian cancer. Pursuant to the agreement, the parties will jointly pay for the cost of the study. As of March 31, 2018, the Company recorded a receivable of $0.2 million from Merck for reimbursement of research and development costs incurred. Reimbursement under this collaboration agreement is recorded as reduction to research and development expense.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Convertible Preferred Stock</w:t>
      </w:r>
    </w:p>
    <w:p>
      <w:pPr>
        <w:spacing w:after="0" w:line="121"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Through December 31, 2017, the Company’s convertible preferred stock was classified in permanent equity as redemption of the convertible preferred stock was in the control of the Company. In February 2018, the Company appointed an additional director which increased the influence of the convertible preferred stockholders on the board of directors. This change to the Company’s board composition during the three months ended March 31, 2018, resulted in the convertible preferred stock being reclassified outside of stockholders’ deficit because, in the event of certain “liquidation events” that are not solely within the Company’s control (including merger, acquisition, or sale of all or substantially all of our assets), the shares could become redeemable at the option of the holders. As of March 31, 2018, shares of the convertible preferred stock were not redeemable. As of March 31, 2018, the Company did not adjust the carrying values of the convertible preferred stock to the deemed liquidation values of such shares since a liquidation event was not probable of occurring. Subsequent adjustments to increase or decrease the carrying values to the ultimate liquidation values will be made only if and when it becomes probable that such a liquidation event will occur.</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and March 31, 2018, there were 3,042,573 shares reserved by the Company to grant under the 2015 Plan.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ind w:left="640" w:right="3180" w:firstLine="2735"/>
        <w:spacing w:after="0" w:line="454" w:lineRule="auto"/>
        <w:rPr>
          <w:sz w:val="20"/>
          <w:szCs w:val="20"/>
          <w:color w:val="auto"/>
        </w:rPr>
      </w:pPr>
      <w:r>
        <w:rPr>
          <w:rFonts w:ascii="Arial" w:cs="Arial" w:eastAsia="Arial" w:hAnsi="Arial"/>
          <w:sz w:val="18"/>
          <w:szCs w:val="18"/>
          <w:b w:val="1"/>
          <w:bCs w:val="1"/>
          <w:color w:val="auto"/>
        </w:rPr>
        <w:t xml:space="preserve">Notes to Unaudited Interim Condensed Financial Statements </w:t>
      </w:r>
      <w:r>
        <w:rPr>
          <w:rFonts w:ascii="Arial" w:cs="Arial" w:eastAsia="Arial" w:hAnsi="Arial"/>
          <w:sz w:val="18"/>
          <w:szCs w:val="18"/>
          <w:color w:val="auto"/>
        </w:rPr>
        <w:t>The following summarizes option activity under the 2015 Plan:</w:t>
      </w:r>
    </w:p>
    <w:p>
      <w:pPr>
        <w:spacing w:after="0" w:line="24"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3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Shares</w:t>
            </w: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Issuable</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Under</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Options</w:t>
            </w: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Contract Term</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years)</w:t>
            </w:r>
          </w:p>
        </w:tc>
        <w:tc>
          <w:tcPr>
            <w:tcW w:w="48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2,102,528</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4.47</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113,645</w:t>
            </w:r>
          </w:p>
        </w:tc>
        <w:tc>
          <w:tcPr>
            <w:tcW w:w="5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8.12</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forfeited</w:t>
            </w:r>
          </w:p>
        </w:tc>
        <w:tc>
          <w:tcPr>
            <w:tcW w:w="13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(9,531)</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3.79</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Balance Outstanding March 31, 2018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2,206,642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4.67</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9,030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Exercisable, March 31, 2018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1,092,325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4.21</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Vested and expected to vest, March 31, 2018</w:t>
            </w: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4.67</w:t>
            </w:r>
          </w:p>
        </w:tc>
        <w:tc>
          <w:tcPr>
            <w:tcW w:w="14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2,206,642</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stock-based compensation was as follows:</w:t>
      </w:r>
    </w:p>
    <w:p>
      <w:pPr>
        <w:spacing w:after="0" w:line="244"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Three Months</w:t>
      </w:r>
    </w:p>
    <w:p>
      <w:pPr>
        <w:jc w:val="center"/>
        <w:ind w:left="632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2017</w:t>
            </w:r>
          </w:p>
        </w:tc>
        <w:tc>
          <w:tcPr>
            <w:tcW w:w="8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December 31, 2017 and March 31, 2018, $255,000 and $241,000, respectively, were recorded in other long-term liabilities related to shares held by employees and directors that were subject to repurchase.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restricted stock activity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Restricted</w:t>
            </w: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320" w:type="dxa"/>
            <w:vAlign w:val="bottom"/>
            <w:gridSpan w:val="3"/>
          </w:tcPr>
          <w:p>
            <w:pPr>
              <w:jc w:val="center"/>
              <w:ind w:left="3236"/>
              <w:spacing w:after="0"/>
              <w:rPr>
                <w:sz w:val="20"/>
                <w:szCs w:val="20"/>
                <w:color w:val="auto"/>
              </w:rPr>
            </w:pPr>
            <w:r>
              <w:rPr>
                <w:rFonts w:ascii="Arial" w:cs="Arial" w:eastAsia="Arial" w:hAnsi="Arial"/>
                <w:sz w:val="14"/>
                <w:szCs w:val="14"/>
                <w:b w:val="1"/>
                <w:bCs w:val="1"/>
                <w:color w:val="auto"/>
                <w:w w:val="92"/>
              </w:rPr>
              <w:t>Outstanding</w:t>
            </w: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shares—December 31, 2017</w:t>
            </w:r>
          </w:p>
        </w:tc>
        <w:tc>
          <w:tcPr>
            <w:tcW w:w="3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Early exercised options</w:t>
            </w:r>
          </w:p>
        </w:tc>
        <w:tc>
          <w:tcPr>
            <w:tcW w:w="34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 vested</w:t>
            </w:r>
          </w:p>
        </w:tc>
        <w:tc>
          <w:tcPr>
            <w:tcW w:w="4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(11,290)</w:t>
            </w:r>
          </w:p>
        </w:tc>
      </w:tr>
      <w:tr>
        <w:trPr>
          <w:trHeight w:val="223"/>
        </w:trPr>
        <w:tc>
          <w:tcPr>
            <w:tcW w:w="20" w:type="dxa"/>
            <w:vAlign w:val="bottom"/>
          </w:tcPr>
          <w:p>
            <w:pPr>
              <w:spacing w:after="0"/>
              <w:rPr>
                <w:sz w:val="19"/>
                <w:szCs w:val="19"/>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Repurchased by the Company</w:t>
            </w:r>
          </w:p>
        </w:tc>
        <w:tc>
          <w:tcPr>
            <w:tcW w:w="34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(41,935)</w:t>
            </w: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shares—March 31, 2018</w:t>
            </w:r>
          </w:p>
        </w:tc>
        <w:tc>
          <w:tcPr>
            <w:tcW w:w="34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103,763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320" w:type="dxa"/>
            <w:vAlign w:val="bottom"/>
            <w:gridSpan w:val="3"/>
          </w:tcPr>
          <w:p>
            <w:pPr>
              <w:jc w:val="right"/>
              <w:ind w:right="3580"/>
              <w:spacing w:after="0"/>
              <w:rPr>
                <w:sz w:val="20"/>
                <w:szCs w:val="20"/>
                <w:color w:val="auto"/>
              </w:rPr>
            </w:pPr>
            <w:r>
              <w:rPr>
                <w:rFonts w:ascii="Arial" w:cs="Arial" w:eastAsia="Arial" w:hAnsi="Arial"/>
                <w:sz w:val="18"/>
                <w:szCs w:val="18"/>
                <w:color w:val="auto"/>
              </w:rPr>
              <w:t>F-32</w:t>
            </w:r>
          </w:p>
        </w:tc>
      </w:tr>
    </w:tbl>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ind w:left="200" w:right="3180" w:firstLine="3175"/>
        <w:spacing w:after="0" w:line="401" w:lineRule="auto"/>
        <w:rPr>
          <w:sz w:val="20"/>
          <w:szCs w:val="20"/>
          <w:color w:val="auto"/>
        </w:rPr>
      </w:pPr>
      <w:r>
        <w:rPr>
          <w:rFonts w:ascii="Arial" w:cs="Arial" w:eastAsia="Arial" w:hAnsi="Arial"/>
          <w:sz w:val="18"/>
          <w:szCs w:val="18"/>
          <w:b w:val="1"/>
          <w:bCs w:val="1"/>
          <w:color w:val="auto"/>
        </w:rPr>
        <w:t>Notes to Unaudited Interim Condensed Financial Statements 8. Net Loss and Unaudited Pro Forma Net Loss Per Share</w:t>
      </w:r>
    </w:p>
    <w:p>
      <w:pPr>
        <w:spacing w:after="0" w:line="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360" w:type="dxa"/>
            <w:vAlign w:val="bottom"/>
            <w:gridSpan w:val="4"/>
          </w:tcPr>
          <w:p>
            <w:pPr>
              <w:ind w:left="660"/>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90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2017</w:t>
            </w:r>
          </w:p>
        </w:tc>
        <w:tc>
          <w:tcPr>
            <w:tcW w:w="14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8,626,373</w:t>
            </w:r>
          </w:p>
        </w:tc>
        <w:tc>
          <w:tcPr>
            <w:tcW w:w="3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16,215,896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900" w:type="dxa"/>
            <w:vAlign w:val="bottom"/>
          </w:tcPr>
          <w:p>
            <w:pPr>
              <w:jc w:val="right"/>
              <w:spacing w:after="0"/>
              <w:rPr>
                <w:sz w:val="20"/>
                <w:szCs w:val="20"/>
                <w:color w:val="auto"/>
              </w:rPr>
            </w:pPr>
            <w:r>
              <w:rPr>
                <w:rFonts w:ascii="Arial" w:cs="Arial" w:eastAsia="Arial" w:hAnsi="Arial"/>
                <w:sz w:val="18"/>
                <w:szCs w:val="18"/>
                <w:color w:val="auto"/>
              </w:rPr>
              <w:t>624,177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2,206,642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subject to future vesting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244,891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103,763</w:t>
            </w:r>
          </w:p>
        </w:tc>
        <w:tc>
          <w:tcPr>
            <w:tcW w:w="60" w:type="dxa"/>
            <w:vAlign w:val="bottom"/>
            <w:shd w:val="clear" w:color="auto" w:fill="CCEEFF"/>
          </w:tcPr>
          <w:p>
            <w:pPr>
              <w:spacing w:after="0"/>
              <w:rPr>
                <w:sz w:val="18"/>
                <w:szCs w:val="18"/>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9,495,441</w:t>
            </w:r>
          </w:p>
        </w:tc>
        <w:tc>
          <w:tcPr>
            <w:tcW w:w="3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18,526,301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 Forma Net Loss per Share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the computation of unaudited pro forma basic and diluted net loss per share during the three months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31, 2018 (in thousands, except share and per share data):</w:t>
      </w:r>
    </w:p>
    <w:p>
      <w:pPr>
        <w:spacing w:after="0" w:line="217"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7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loss, basic and diluted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6,600,407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reflect assumed conversion of convertible preferred stock</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16,215,896</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Shares used in computing pro forma net loss per share, basic and diluted</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22,816,303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Subsequent Events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Except for the Reverse Stock Split described in Note 1, subsequent events have been evaluated through May 22, 2018, which is the date that the unaudited interim financial statements were available to be issued.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63">
        <w:r>
          <w:rPr>
            <w:rFonts w:ascii="Arial" w:cs="Arial" w:eastAsia="Arial" w:hAnsi="Arial"/>
            <w:sz w:val="16"/>
            <w:szCs w:val="16"/>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3899535</wp:posOffset>
            </wp:positionV>
            <wp:extent cx="3782060" cy="7289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782060" cy="72898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the sale of the common stock being registered. All amounts shown are estimates except for the SEC registration fee, the Financial Industry Regulatory Authority, or FINRA, filing fee and The Nasdaq Global Market initial listing fee.</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SEC</w:t>
            </w:r>
          </w:p>
        </w:tc>
        <w:tc>
          <w:tcPr>
            <w:tcW w:w="64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registration fee</w:t>
            </w:r>
          </w:p>
        </w:tc>
        <w:tc>
          <w:tcPr>
            <w:tcW w:w="3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listing fee</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525,651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3,500,000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jc w:val="both"/>
        <w:ind w:left="200" w:right="20" w:firstLine="441"/>
        <w:spacing w:after="0" w:line="293"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 Our amended and restated certificate of incorporation to be in effect upon the closing of this offering allows for our indemnification of our directors, officers, employees and other agents to the maximum extent permitted by the Delaware General Corporation Law, and our amended and restated bylaws to be in effect upon the closing of this offering provide for indemnification of our directors and executive officers to the maximum extent permitted by the Delaware General Corporation Law.</w:t>
      </w:r>
    </w:p>
    <w:p>
      <w:pPr>
        <w:spacing w:after="0" w:line="165"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Forty Seven, Inc., provided that such director or officer acted in good faith and in a manner that the director or officer reasonably believed to be in, or not opposed to, the best interest of Forty Seven, Inc.</w:t>
      </w:r>
    </w:p>
    <w:p>
      <w:pPr>
        <w:spacing w:after="0" w:line="188"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At present, there is no pending litigation or proceeding involving a director or officer of Forty Seven, Inc. regarding which indemnification is sought, nor is the registrant aware of any threatened litigation that may result in claims for indemnification.</w:t>
      </w:r>
    </w:p>
    <w:p>
      <w:pPr>
        <w:spacing w:after="0" w:line="17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17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underwriters are obligated, under certain circumstances, pursuant to the underwriting agreement to be filed as Exhibit 1.1 hereto, to indemnify us, our officers and our directors against liabilities under the Securities Act.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since March 1, 2015. Share amounts have been retroactively adjusted to give effect to a 1-for-7.75 reverse stock split of our common stock and preferred stock effected on June 14, 2018.</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Issuances of Capital Stock</w:t>
      </w:r>
    </w:p>
    <w:p>
      <w:pPr>
        <w:spacing w:after="0" w:line="131" w:lineRule="exact"/>
        <w:rPr>
          <w:sz w:val="20"/>
          <w:szCs w:val="20"/>
          <w:color w:val="auto"/>
        </w:rPr>
      </w:pPr>
    </w:p>
    <w:p>
      <w:pPr>
        <w:jc w:val="both"/>
        <w:ind w:left="1620" w:hanging="538"/>
        <w:spacing w:after="0" w:line="264" w:lineRule="auto"/>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From May 2015 to June 2015, we sold, in a series of closings, an aggregate of 5,039,997 shares of common stock to nine accredited investors at a purchase prices ranging from of $0.00775 to $0.0496 per share for an aggregate purchase price of approximately $43,278.</w:t>
      </w:r>
    </w:p>
    <w:p>
      <w:pPr>
        <w:spacing w:after="0" w:line="86" w:lineRule="exact"/>
        <w:rPr>
          <w:rFonts w:ascii="Arial" w:cs="Arial" w:eastAsia="Arial" w:hAnsi="Arial"/>
          <w:sz w:val="18"/>
          <w:szCs w:val="18"/>
          <w:color w:val="auto"/>
        </w:rPr>
      </w:pPr>
    </w:p>
    <w:p>
      <w:pPr>
        <w:jc w:val="both"/>
        <w:ind w:left="1620" w:hanging="538"/>
        <w:spacing w:after="0" w:line="264" w:lineRule="auto"/>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November 2015 and from February 2016 through April 2016, we sold, in a series of closings, an aggregate of 4,438,691 shares of our Series A-1 preferred stock to 37 accredited investors at a purchase price of $7.75 per share for an aggregate purchase price of $34.4 million.</w:t>
      </w:r>
    </w:p>
    <w:p>
      <w:pPr>
        <w:spacing w:after="0" w:line="86" w:lineRule="exact"/>
        <w:rPr>
          <w:rFonts w:ascii="Arial" w:cs="Arial" w:eastAsia="Arial" w:hAnsi="Arial"/>
          <w:sz w:val="18"/>
          <w:szCs w:val="18"/>
          <w:color w:val="auto"/>
        </w:rPr>
      </w:pPr>
    </w:p>
    <w:p>
      <w:pPr>
        <w:ind w:left="1620" w:hanging="538"/>
        <w:spacing w:after="0" w:line="277" w:lineRule="auto"/>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November 2016, we issued 1,000,160 shares of common stock to an accredited investor in consideration of an exclusive license of certain intellectual property rights.</w:t>
      </w:r>
    </w:p>
    <w:p>
      <w:pPr>
        <w:spacing w:after="0" w:line="75" w:lineRule="exact"/>
        <w:rPr>
          <w:rFonts w:ascii="Arial" w:cs="Arial" w:eastAsia="Arial" w:hAnsi="Arial"/>
          <w:sz w:val="18"/>
          <w:szCs w:val="18"/>
          <w:color w:val="auto"/>
        </w:rPr>
      </w:pPr>
    </w:p>
    <w:p>
      <w:pPr>
        <w:jc w:val="both"/>
        <w:ind w:left="1620" w:hanging="538"/>
        <w:spacing w:after="0" w:line="264" w:lineRule="auto"/>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From February 2017 through March 2017, we sold, in a series of closings, an aggregate of 4,187,682 shares of our Series A-2 preferred stock to 29 accredited investors at a purchase price of approximately $9.65 per share for an aggregate purchase price of approximately $40.4 million.</w:t>
      </w:r>
    </w:p>
    <w:p>
      <w:pPr>
        <w:spacing w:after="0" w:line="86" w:lineRule="exact"/>
        <w:rPr>
          <w:rFonts w:ascii="Arial" w:cs="Arial" w:eastAsia="Arial" w:hAnsi="Arial"/>
          <w:sz w:val="18"/>
          <w:szCs w:val="18"/>
          <w:color w:val="auto"/>
        </w:rPr>
      </w:pPr>
    </w:p>
    <w:p>
      <w:pPr>
        <w:ind w:left="1620" w:hanging="538"/>
        <w:spacing w:after="0" w:line="277" w:lineRule="auto"/>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October 2017, we sold an aggregate of 7,589,523 shares of our Series B preferred stock to 32 accredited investors at a purchase price of approximately $9.88 per share for an aggregate purchase price of approximately $75.0 million.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31" w:lineRule="exact"/>
        <w:rPr>
          <w:sz w:val="20"/>
          <w:szCs w:val="20"/>
          <w:color w:val="auto"/>
        </w:rPr>
      </w:pPr>
    </w:p>
    <w:p>
      <w:pPr>
        <w:jc w:val="both"/>
        <w:ind w:left="1620" w:hanging="538"/>
        <w:spacing w:after="0" w:line="264" w:lineRule="auto"/>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From June 2015 through November 2015, we issued and sold, in a series of closings, convertible promissory notes in the aggregate principal amount of $900,000 to three accredited investors, such notes were converted into 117,328 shares of Series A-1 preferred stock in November 2015.</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Option and Common Stock Issuances</w:t>
      </w:r>
    </w:p>
    <w:p>
      <w:pPr>
        <w:spacing w:after="0" w:line="131" w:lineRule="exact"/>
        <w:rPr>
          <w:sz w:val="20"/>
          <w:szCs w:val="20"/>
          <w:color w:val="auto"/>
        </w:rPr>
      </w:pPr>
    </w:p>
    <w:p>
      <w:pPr>
        <w:jc w:val="both"/>
        <w:ind w:left="1620" w:hanging="538"/>
        <w:spacing w:after="0" w:line="264"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From May 15, 2015 through June 11, 2018, we granted to certain of our directors, employees, consultants and other service providers options to purchase 3,963,340 shares of common stock with per share exercise prices ranging from $2.02 to $14.00 under our 2015 Plan.</w:t>
      </w:r>
    </w:p>
    <w:p>
      <w:pPr>
        <w:spacing w:after="0" w:line="86" w:lineRule="exact"/>
        <w:rPr>
          <w:rFonts w:ascii="Arial" w:cs="Arial" w:eastAsia="Arial" w:hAnsi="Arial"/>
          <w:sz w:val="18"/>
          <w:szCs w:val="18"/>
          <w:color w:val="auto"/>
        </w:rPr>
      </w:pPr>
    </w:p>
    <w:p>
      <w:pPr>
        <w:jc w:val="both"/>
        <w:ind w:left="1620" w:hanging="538"/>
        <w:spacing w:after="0" w:line="264"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From May 15, 2015 through June 11, 2018, we issued and sold an aggregate of 342,521 shares of common stock upon the exercise of options under of 2015 Plan at exercise prices ranging from $2.02 to $8.76 per share, for an aggregate exercise price of approximately $866,586.</w:t>
      </w:r>
    </w:p>
    <w:p>
      <w:pPr>
        <w:spacing w:after="0" w:line="86" w:lineRule="exact"/>
        <w:rPr>
          <w:rFonts w:ascii="Arial" w:cs="Arial" w:eastAsia="Arial" w:hAnsi="Arial"/>
          <w:sz w:val="18"/>
          <w:szCs w:val="18"/>
          <w:color w:val="auto"/>
        </w:rPr>
      </w:pPr>
    </w:p>
    <w:p>
      <w:pPr>
        <w:jc w:val="both"/>
        <w:ind w:left="1620" w:hanging="538"/>
        <w:spacing w:after="0" w:line="279" w:lineRule="auto"/>
        <w:tabs>
          <w:tab w:leader="none" w:pos="1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From May 15, 2015 through June 11, 2018, we issued to certain of our directors, employees, consultants and other service providers an aggregate of 387,096 shares of common stock at a purchase price of $0.00775 per share or $0.0496 per share, for an aggregate purchase price of approximately $6,240 pursuant to restricted stock purchase grant notices under our 2015 Plan, of which 41,935 shares of common stock were repurchased by us at $0.00775 per share for a repurchase price of $325.</w:t>
      </w:r>
    </w:p>
    <w:p>
      <w:pPr>
        <w:spacing w:after="0" w:line="17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Exhibits.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6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20" w:type="dxa"/>
            <w:vAlign w:val="bottom"/>
            <w:gridSpan w:val="15"/>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1.1</w:t>
            </w:r>
          </w:p>
        </w:tc>
        <w:tc>
          <w:tcPr>
            <w:tcW w:w="660" w:type="dxa"/>
            <w:vAlign w:val="bottom"/>
          </w:tcPr>
          <w:p>
            <w:pPr>
              <w:spacing w:after="0"/>
              <w:rPr>
                <w:sz w:val="14"/>
                <w:szCs w:val="14"/>
                <w:color w:val="auto"/>
              </w:rPr>
            </w:pPr>
          </w:p>
        </w:tc>
        <w:tc>
          <w:tcPr>
            <w:tcW w:w="9660" w:type="dxa"/>
            <w:vAlign w:val="bottom"/>
            <w:tcBorders>
              <w:top w:val="single" w:sz="8" w:color="auto"/>
            </w:tcBorders>
            <w:gridSpan w:val="24"/>
          </w:tcPr>
          <w:p>
            <w:pPr>
              <w:spacing w:after="0" w:line="170" w:lineRule="exact"/>
              <w:rPr>
                <w:sz w:val="20"/>
                <w:szCs w:val="20"/>
                <w:color w:val="auto"/>
              </w:rPr>
            </w:pPr>
            <w:r>
              <w:rPr>
                <w:rFonts w:ascii="Arial" w:cs="Arial" w:eastAsia="Arial" w:hAnsi="Arial"/>
                <w:sz w:val="18"/>
                <w:szCs w:val="18"/>
                <w:color w:val="0000EE"/>
              </w:rPr>
              <w:t>Form of Underwriting Agreement.</w:t>
            </w:r>
          </w:p>
        </w:tc>
      </w:tr>
      <w:tr>
        <w:trPr>
          <w:trHeight w:val="20"/>
        </w:trPr>
        <w:tc>
          <w:tcPr>
            <w:tcW w:w="7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660" w:type="dxa"/>
            <w:vAlign w:val="bottom"/>
            <w:gridSpan w:val="24"/>
          </w:tcPr>
          <w:p>
            <w:pPr>
              <w:spacing w:after="0"/>
              <w:rPr>
                <w:sz w:val="20"/>
                <w:szCs w:val="20"/>
                <w:color w:val="auto"/>
              </w:rPr>
            </w:pPr>
            <w:r>
              <w:rPr>
                <w:rFonts w:ascii="Arial" w:cs="Arial" w:eastAsia="Arial" w:hAnsi="Arial"/>
                <w:sz w:val="18"/>
                <w:szCs w:val="18"/>
                <w:color w:val="0000EE"/>
              </w:rPr>
              <w:t>Amended and Restated Certificate of Incorporation of Forty Seven, Inc., as currently in effect.</w:t>
            </w:r>
          </w:p>
        </w:tc>
      </w:tr>
      <w:tr>
        <w:trPr>
          <w:trHeight w:val="20"/>
        </w:trPr>
        <w:tc>
          <w:tcPr>
            <w:tcW w:w="7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color w:val="0000EE"/>
                <w:w w:val="95"/>
              </w:rPr>
            </w:pPr>
            <w:hyperlink r:id="rId262">
              <w:r>
                <w:rPr>
                  <w:rFonts w:ascii="Arial" w:cs="Arial" w:eastAsia="Arial" w:hAnsi="Arial"/>
                  <w:sz w:val="18"/>
                  <w:szCs w:val="18"/>
                  <w:color w:val="0000EE"/>
                  <w:w w:val="95"/>
                </w:rPr>
                <w:t>Form of Amended and Restated Certificate of Incorporation of Forty Seven, Inc., to be in effect upon the closing of the offering</w:t>
              </w:r>
            </w:hyperlink>
            <w:r>
              <w:rPr>
                <w:rFonts w:ascii="Arial" w:cs="Arial" w:eastAsia="Arial" w:hAnsi="Arial"/>
                <w:sz w:val="18"/>
                <w:szCs w:val="18"/>
                <w:color w:val="000000"/>
                <w:w w:val="95"/>
              </w:rPr>
              <w:t>.</w:t>
            </w: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36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r:id="rId263">
              <w:r>
                <w:rPr>
                  <w:rFonts w:ascii="Arial" w:cs="Arial" w:eastAsia="Arial" w:hAnsi="Arial"/>
                  <w:sz w:val="18"/>
                  <w:szCs w:val="18"/>
                  <w:color w:val="0000EE"/>
                  <w:w w:val="91"/>
                </w:rPr>
                <w:t>Bylaws of Forty Seven, Inc., as currently in effect.</w:t>
              </w:r>
            </w:hyperlink>
          </w:p>
        </w:tc>
        <w:tc>
          <w:tcPr>
            <w:tcW w:w="5560" w:type="dxa"/>
            <w:vAlign w:val="bottom"/>
            <w:tcBorders>
              <w:top w:val="single" w:sz="8" w:color="0000EE"/>
            </w:tcBorders>
            <w:gridSpan w:val="14"/>
          </w:tcPr>
          <w:p>
            <w:pPr>
              <w:spacing w:after="0"/>
              <w:rPr>
                <w:sz w:val="24"/>
                <w:szCs w:val="24"/>
                <w:color w:val="auto"/>
              </w:rPr>
            </w:pPr>
          </w:p>
        </w:tc>
        <w:tc>
          <w:tcPr>
            <w:tcW w:w="480" w:type="dxa"/>
            <w:vAlign w:val="bottom"/>
            <w:gridSpan w:val="5"/>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color w:val="0000EE"/>
              </w:rPr>
            </w:pPr>
            <w:hyperlink r:id="rId264">
              <w:r>
                <w:rPr>
                  <w:rFonts w:ascii="Arial" w:cs="Arial" w:eastAsia="Arial" w:hAnsi="Arial"/>
                  <w:sz w:val="18"/>
                  <w:szCs w:val="18"/>
                  <w:color w:val="0000EE"/>
                </w:rPr>
                <w:t>Form of Amended and Restated Bylaws of Forty Seven, Inc., to be in effect upon the closing of the offering.</w:t>
              </w:r>
            </w:hyperlink>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2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r:id="rId265">
              <w:r>
                <w:rPr>
                  <w:rFonts w:ascii="Arial" w:cs="Arial" w:eastAsia="Arial" w:hAnsi="Arial"/>
                  <w:sz w:val="18"/>
                  <w:szCs w:val="18"/>
                  <w:color w:val="0000EE"/>
                  <w:w w:val="91"/>
                </w:rPr>
                <w:t>Form of Common Stock Certificate.</w:t>
              </w:r>
            </w:hyperlink>
          </w:p>
        </w:tc>
        <w:tc>
          <w:tcPr>
            <w:tcW w:w="5200" w:type="dxa"/>
            <w:vAlign w:val="bottom"/>
            <w:tcBorders>
              <w:top w:val="single" w:sz="8" w:color="0000EE"/>
            </w:tcBorders>
            <w:gridSpan w:val="9"/>
          </w:tcPr>
          <w:p>
            <w:pPr>
              <w:spacing w:after="0"/>
              <w:rPr>
                <w:sz w:val="24"/>
                <w:szCs w:val="24"/>
                <w:color w:val="auto"/>
              </w:rPr>
            </w:pPr>
          </w:p>
        </w:tc>
        <w:tc>
          <w:tcPr>
            <w:tcW w:w="1880" w:type="dxa"/>
            <w:vAlign w:val="bottom"/>
            <w:gridSpan w:val="11"/>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9660" w:type="dxa"/>
            <w:vAlign w:val="bottom"/>
            <w:gridSpan w:val="24"/>
          </w:tcPr>
          <w:p>
            <w:pPr>
              <w:spacing w:after="0"/>
              <w:rPr>
                <w:sz w:val="20"/>
                <w:szCs w:val="20"/>
                <w:color w:val="auto"/>
              </w:rPr>
            </w:pPr>
            <w:r>
              <w:rPr>
                <w:rFonts w:ascii="Arial" w:cs="Arial" w:eastAsia="Arial" w:hAnsi="Arial"/>
                <w:sz w:val="18"/>
                <w:szCs w:val="18"/>
                <w:color w:val="0000EE"/>
              </w:rPr>
              <w:t>Form of Opinion of Cooley LLP.</w:t>
            </w:r>
          </w:p>
        </w:tc>
      </w:tr>
      <w:tr>
        <w:trPr>
          <w:trHeight w:val="20"/>
        </w:trPr>
        <w:tc>
          <w:tcPr>
            <w:tcW w:w="7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9300" w:type="dxa"/>
            <w:vAlign w:val="bottom"/>
            <w:tcBorders>
              <w:bottom w:val="single" w:sz="8" w:color="0000EE"/>
            </w:tcBorders>
            <w:gridSpan w:val="20"/>
          </w:tcPr>
          <w:p>
            <w:pPr>
              <w:spacing w:after="0"/>
              <w:rPr>
                <w:rFonts w:ascii="Arial" w:cs="Arial" w:eastAsia="Arial" w:hAnsi="Arial"/>
                <w:sz w:val="18"/>
                <w:szCs w:val="18"/>
                <w:color w:val="0000EE"/>
                <w:w w:val="90"/>
              </w:rPr>
            </w:pPr>
            <w:hyperlink r:id="rId266">
              <w:r>
                <w:rPr>
                  <w:rFonts w:ascii="Arial" w:cs="Arial" w:eastAsia="Arial" w:hAnsi="Arial"/>
                  <w:sz w:val="18"/>
                  <w:szCs w:val="18"/>
                  <w:color w:val="0000EE"/>
                  <w:w w:val="90"/>
                </w:rPr>
                <w:t>Amended and Restated Investor Rights Agreement, by and among Forty Seven, Inc. and the investors listed on Exhibit A thereto,</w:t>
              </w:r>
            </w:hyperlink>
          </w:p>
        </w:tc>
        <w:tc>
          <w:tcPr>
            <w:tcW w:w="36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60" w:type="dxa"/>
            <w:vAlign w:val="bottom"/>
            <w:gridSpan w:val="24"/>
          </w:tcPr>
          <w:p>
            <w:pPr>
              <w:spacing w:after="0" w:line="196" w:lineRule="exact"/>
              <w:rPr>
                <w:rFonts w:ascii="Arial" w:cs="Arial" w:eastAsia="Arial" w:hAnsi="Arial"/>
                <w:sz w:val="18"/>
                <w:szCs w:val="18"/>
                <w:color w:val="0000EE"/>
              </w:rPr>
            </w:pPr>
            <w:hyperlink r:id="rId266">
              <w:r>
                <w:rPr>
                  <w:rFonts w:ascii="Arial" w:cs="Arial" w:eastAsia="Arial" w:hAnsi="Arial"/>
                  <w:sz w:val="18"/>
                  <w:szCs w:val="18"/>
                  <w:color w:val="0000EE"/>
                </w:rPr>
                <w:t>dated October 17, 2017.</w:t>
              </w:r>
            </w:hyperlink>
          </w:p>
        </w:tc>
      </w:tr>
      <w:tr>
        <w:trPr>
          <w:trHeight w:val="20"/>
        </w:trPr>
        <w:tc>
          <w:tcPr>
            <w:tcW w:w="7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9660" w:type="dxa"/>
            <w:vAlign w:val="bottom"/>
            <w:gridSpan w:val="24"/>
          </w:tcPr>
          <w:p>
            <w:pPr>
              <w:spacing w:after="0"/>
              <w:rPr>
                <w:sz w:val="20"/>
                <w:szCs w:val="20"/>
                <w:color w:val="auto"/>
              </w:rPr>
            </w:pPr>
            <w:r>
              <w:rPr>
                <w:rFonts w:ascii="Arial" w:cs="Arial" w:eastAsia="Arial" w:hAnsi="Arial"/>
                <w:sz w:val="18"/>
                <w:szCs w:val="18"/>
                <w:color w:val="0000EE"/>
              </w:rPr>
              <w:t>Forty Seven, Inc. 2015 Equity Incentive Plan, as amended.</w:t>
            </w:r>
          </w:p>
        </w:tc>
      </w:tr>
      <w:tr>
        <w:trPr>
          <w:trHeight w:val="20"/>
        </w:trPr>
        <w:tc>
          <w:tcPr>
            <w:tcW w:w="7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80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24"/>
                <w:szCs w:val="24"/>
                <w:color w:val="auto"/>
              </w:rPr>
            </w:pPr>
          </w:p>
        </w:tc>
        <w:tc>
          <w:tcPr>
            <w:tcW w:w="9660" w:type="dxa"/>
            <w:vAlign w:val="bottom"/>
            <w:gridSpan w:val="24"/>
          </w:tcPr>
          <w:p>
            <w:pPr>
              <w:spacing w:after="0"/>
              <w:rPr>
                <w:sz w:val="20"/>
                <w:szCs w:val="20"/>
                <w:color w:val="auto"/>
              </w:rPr>
            </w:pPr>
            <w:r>
              <w:rPr>
                <w:rFonts w:ascii="Arial" w:cs="Arial" w:eastAsia="Arial" w:hAnsi="Arial"/>
                <w:sz w:val="18"/>
                <w:szCs w:val="18"/>
                <w:color w:val="0000EE"/>
              </w:rPr>
              <w:t>Forms of Stock Option Grant Notice, Option Agreement and Notice of Exercise under the 2015 Equity Incentive Plan.</w:t>
            </w: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850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w w:val="94"/>
              </w:rPr>
              <w:t>Forty Seven, Inc. 2018 Equity Incentive Plan, to be in effect when this registration statement is declared effective.</w:t>
            </w:r>
          </w:p>
        </w:tc>
        <w:tc>
          <w:tcPr>
            <w:tcW w:w="1160" w:type="dxa"/>
            <w:vAlign w:val="bottom"/>
            <w:gridSpan w:val="8"/>
          </w:tcPr>
          <w:p>
            <w:pPr>
              <w:spacing w:after="0"/>
              <w:rPr>
                <w:sz w:val="24"/>
                <w:szCs w:val="24"/>
                <w:color w:val="auto"/>
              </w:rPr>
            </w:pPr>
          </w:p>
        </w:tc>
      </w:tr>
      <w:tr>
        <w:trPr>
          <w:trHeight w:val="20"/>
        </w:trPr>
        <w:tc>
          <w:tcPr>
            <w:tcW w:w="7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80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4"/>
                <w:szCs w:val="24"/>
                <w:color w:val="auto"/>
              </w:rPr>
            </w:pPr>
          </w:p>
        </w:tc>
        <w:tc>
          <w:tcPr>
            <w:tcW w:w="9660" w:type="dxa"/>
            <w:vAlign w:val="bottom"/>
            <w:gridSpan w:val="24"/>
          </w:tcPr>
          <w:p>
            <w:pPr>
              <w:spacing w:after="0"/>
              <w:rPr>
                <w:sz w:val="20"/>
                <w:szCs w:val="20"/>
                <w:color w:val="auto"/>
              </w:rPr>
            </w:pPr>
            <w:r>
              <w:rPr>
                <w:rFonts w:ascii="Arial" w:cs="Arial" w:eastAsia="Arial" w:hAnsi="Arial"/>
                <w:sz w:val="18"/>
                <w:szCs w:val="18"/>
                <w:color w:val="0000EE"/>
                <w:w w:val="92"/>
              </w:rPr>
              <w:t>Forms of Stock Option Grant Notice, Option Agreement and Notice of Exercise under the 2018 Equity Incentive Plan, to be in effect</w:t>
            </w: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54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when this registration statement is declared effective.</w:t>
            </w:r>
          </w:p>
        </w:tc>
        <w:tc>
          <w:tcPr>
            <w:tcW w:w="120" w:type="dxa"/>
            <w:vAlign w:val="bottom"/>
            <w:gridSpan w:val="2"/>
          </w:tcPr>
          <w:p>
            <w:pPr>
              <w:spacing w:after="0"/>
              <w:rPr>
                <w:sz w:val="17"/>
                <w:szCs w:val="17"/>
                <w:color w:val="auto"/>
              </w:rPr>
            </w:pPr>
          </w:p>
        </w:tc>
      </w:tr>
      <w:tr>
        <w:trPr>
          <w:trHeight w:val="20"/>
        </w:trPr>
        <w:tc>
          <w:tcPr>
            <w:tcW w:w="7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80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966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1"/>
              </w:rPr>
              <w:t>Forms of Restricted Stock Unit Grant Notice and Restricted Stock Unit Award Agreement under the 2018 Equity Incentive Plan, to be</w:t>
            </w: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60" w:type="dxa"/>
            <w:vAlign w:val="bottom"/>
            <w:gridSpan w:val="24"/>
          </w:tcPr>
          <w:p>
            <w:pPr>
              <w:spacing w:after="0" w:line="196" w:lineRule="exact"/>
              <w:rPr>
                <w:sz w:val="20"/>
                <w:szCs w:val="20"/>
                <w:color w:val="auto"/>
              </w:rPr>
            </w:pPr>
            <w:r>
              <w:rPr>
                <w:rFonts w:ascii="Arial" w:cs="Arial" w:eastAsia="Arial" w:hAnsi="Arial"/>
                <w:sz w:val="18"/>
                <w:szCs w:val="18"/>
                <w:color w:val="0000EE"/>
              </w:rPr>
              <w:t>in effect when this registration statement is declared effective.</w:t>
            </w: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88"/>
              </w:rPr>
              <w:t>Forty Seven, Inc. 2018 Employee Stock Purchase Plan.</w:t>
            </w:r>
          </w:p>
        </w:tc>
        <w:tc>
          <w:tcPr>
            <w:tcW w:w="480" w:type="dxa"/>
            <w:vAlign w:val="bottom"/>
            <w:tcBorders>
              <w:top w:val="single" w:sz="8" w:color="0000EE"/>
            </w:tcBorders>
            <w:gridSpan w:val="2"/>
          </w:tcPr>
          <w:p>
            <w:pPr>
              <w:spacing w:after="0"/>
              <w:rPr>
                <w:sz w:val="24"/>
                <w:szCs w:val="24"/>
                <w:color w:val="auto"/>
              </w:rPr>
            </w:pPr>
          </w:p>
        </w:tc>
        <w:tc>
          <w:tcPr>
            <w:tcW w:w="5220" w:type="dxa"/>
            <w:vAlign w:val="bottom"/>
            <w:gridSpan w:val="15"/>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color w:val="0000EE"/>
              </w:rPr>
            </w:pPr>
            <w:hyperlink r:id="rId267">
              <w:r>
                <w:rPr>
                  <w:rFonts w:ascii="Arial" w:cs="Arial" w:eastAsia="Arial" w:hAnsi="Arial"/>
                  <w:sz w:val="18"/>
                  <w:szCs w:val="18"/>
                  <w:color w:val="0000EE"/>
                </w:rPr>
                <w:t>Form of Indemnification Agreement, by and between Forty Seven, Inc. and each of its directors and executive officers.</w:t>
              </w:r>
            </w:hyperlink>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24"/>
                <w:szCs w:val="24"/>
                <w:color w:val="auto"/>
              </w:rPr>
            </w:pPr>
          </w:p>
        </w:tc>
        <w:tc>
          <w:tcPr>
            <w:tcW w:w="69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r:id="rId268">
              <w:r>
                <w:rPr>
                  <w:rFonts w:ascii="Arial" w:cs="Arial" w:eastAsia="Arial" w:hAnsi="Arial"/>
                  <w:sz w:val="18"/>
                  <w:szCs w:val="18"/>
                  <w:color w:val="0000EE"/>
                  <w:w w:val="90"/>
                </w:rPr>
                <w:t>Offer Letter, by and between Forty Seven, Inc. and Mark McCamish, dated November 10, 2016.</w:t>
              </w:r>
            </w:hyperlink>
          </w:p>
        </w:tc>
        <w:tc>
          <w:tcPr>
            <w:tcW w:w="1620" w:type="dxa"/>
            <w:vAlign w:val="bottom"/>
            <w:tcBorders>
              <w:top w:val="single" w:sz="8" w:color="0000EE"/>
            </w:tcBorders>
            <w:gridSpan w:val="5"/>
          </w:tcPr>
          <w:p>
            <w:pPr>
              <w:spacing w:after="0"/>
              <w:rPr>
                <w:sz w:val="24"/>
                <w:szCs w:val="24"/>
                <w:color w:val="auto"/>
              </w:rPr>
            </w:pPr>
          </w:p>
        </w:tc>
        <w:tc>
          <w:tcPr>
            <w:tcW w:w="1120" w:type="dxa"/>
            <w:vAlign w:val="bottom"/>
            <w:gridSpan w:val="7"/>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24"/>
                <w:szCs w:val="24"/>
                <w:color w:val="auto"/>
              </w:rPr>
            </w:pPr>
          </w:p>
        </w:tc>
        <w:tc>
          <w:tcPr>
            <w:tcW w:w="8840" w:type="dxa"/>
            <w:vAlign w:val="bottom"/>
            <w:tcBorders>
              <w:bottom w:val="single" w:sz="8" w:color="0000EE"/>
            </w:tcBorders>
            <w:gridSpan w:val="18"/>
          </w:tcPr>
          <w:p>
            <w:pPr>
              <w:spacing w:after="0"/>
              <w:rPr>
                <w:rFonts w:ascii="Arial" w:cs="Arial" w:eastAsia="Arial" w:hAnsi="Arial"/>
                <w:sz w:val="18"/>
                <w:szCs w:val="18"/>
                <w:color w:val="0000EE"/>
                <w:w w:val="90"/>
              </w:rPr>
            </w:pPr>
            <w:hyperlink r:id="rId269">
              <w:r>
                <w:rPr>
                  <w:rFonts w:ascii="Arial" w:cs="Arial" w:eastAsia="Arial" w:hAnsi="Arial"/>
                  <w:sz w:val="18"/>
                  <w:szCs w:val="18"/>
                  <w:color w:val="0000EE"/>
                  <w:w w:val="90"/>
                </w:rPr>
                <w:t>Executive Employment Agreement, by and between Forty Seven, Inc. and Chris Takimoto, effective as of January 7, 2016.</w:t>
              </w:r>
            </w:hyperlink>
          </w:p>
        </w:tc>
        <w:tc>
          <w:tcPr>
            <w:tcW w:w="820" w:type="dxa"/>
            <w:vAlign w:val="bottom"/>
            <w:gridSpan w:val="6"/>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66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color w:val="0000EE"/>
              </w:rPr>
            </w:pPr>
            <w:hyperlink r:id="rId270">
              <w:r>
                <w:rPr>
                  <w:rFonts w:ascii="Arial" w:cs="Arial" w:eastAsia="Arial" w:hAnsi="Arial"/>
                  <w:sz w:val="18"/>
                  <w:szCs w:val="18"/>
                  <w:color w:val="0000EE"/>
                </w:rPr>
                <w:t>Lease Agreement, by and between Forty Seven, Inc. and MENLO PREHC I, LLC, dated as of April 13, 2016.</w:t>
              </w:r>
            </w:hyperlink>
          </w:p>
        </w:tc>
      </w:tr>
      <w:tr>
        <w:trPr>
          <w:trHeight w:val="20"/>
        </w:trPr>
        <w:tc>
          <w:tcPr>
            <w:tcW w:w="72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6460" w:type="dxa"/>
            <w:vAlign w:val="bottom"/>
            <w:gridSpan w:val="10"/>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660" w:type="dxa"/>
            <w:vAlign w:val="bottom"/>
          </w:tcPr>
          <w:p>
            <w:pPr>
              <w:spacing w:after="0"/>
              <w:rPr>
                <w:sz w:val="24"/>
                <w:szCs w:val="24"/>
                <w:color w:val="auto"/>
              </w:rPr>
            </w:pPr>
          </w:p>
        </w:tc>
        <w:tc>
          <w:tcPr>
            <w:tcW w:w="964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0"/>
              </w:rPr>
              <w:t>Exclusive (Equity) Agreement, by and between Forty Seven, Inc. and The Board of Trustees of the Leland Stanford Junior University,</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60" w:type="dxa"/>
            <w:vAlign w:val="bottom"/>
            <w:gridSpan w:val="24"/>
          </w:tcPr>
          <w:p>
            <w:pPr>
              <w:spacing w:after="0" w:line="196" w:lineRule="exact"/>
              <w:rPr>
                <w:sz w:val="20"/>
                <w:szCs w:val="20"/>
                <w:color w:val="auto"/>
              </w:rPr>
            </w:pPr>
            <w:r>
              <w:rPr>
                <w:rFonts w:ascii="Arial" w:cs="Arial" w:eastAsia="Arial" w:hAnsi="Arial"/>
                <w:sz w:val="18"/>
                <w:szCs w:val="18"/>
                <w:color w:val="0000EE"/>
                <w:w w:val="93"/>
              </w:rPr>
              <w:t>dated November 19, 2015, as amended by Amendment No. 1 to Exclusive (Equity) Agreement, by and between Forty Seven, Inc.</w:t>
            </w: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6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and The Board of Trustees of the Leland Stanford Junior University, dated April 19, 2017.</w:t>
            </w:r>
          </w:p>
        </w:tc>
        <w:tc>
          <w:tcPr>
            <w:tcW w:w="300" w:type="dxa"/>
            <w:vAlign w:val="bottom"/>
            <w:gridSpan w:val="3"/>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380" w:type="dxa"/>
            <w:vAlign w:val="bottom"/>
            <w:gridSpan w:val="7"/>
          </w:tcPr>
          <w:p>
            <w:pPr>
              <w:ind w:left="2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64"/>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740" w:type="dxa"/>
            <w:vAlign w:val="bottom"/>
          </w:tcPr>
          <w:p>
            <w:pPr>
              <w:spacing w:after="0"/>
              <w:rPr>
                <w:sz w:val="22"/>
                <w:szCs w:val="22"/>
                <w:color w:val="auto"/>
              </w:rPr>
            </w:pPr>
          </w:p>
        </w:tc>
        <w:tc>
          <w:tcPr>
            <w:tcW w:w="94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Assigned Capacity and Manufacturing Agreement, by and between Forty Seven, Inc. and Lonza Sales AG, dated August 30, 2016.</w:t>
            </w:r>
          </w:p>
        </w:tc>
        <w:tc>
          <w:tcPr>
            <w:tcW w:w="160" w:type="dxa"/>
            <w:vAlign w:val="bottom"/>
            <w:gridSpan w:val="2"/>
          </w:tcPr>
          <w:p>
            <w:pPr>
              <w:spacing w:after="0"/>
              <w:rPr>
                <w:sz w:val="22"/>
                <w:szCs w:val="22"/>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740" w:type="dxa"/>
            <w:vAlign w:val="bottom"/>
          </w:tcPr>
          <w:p>
            <w:pPr>
              <w:spacing w:after="0"/>
              <w:rPr>
                <w:sz w:val="24"/>
                <w:szCs w:val="24"/>
                <w:color w:val="auto"/>
              </w:rPr>
            </w:pPr>
          </w:p>
        </w:tc>
        <w:tc>
          <w:tcPr>
            <w:tcW w:w="9520" w:type="dxa"/>
            <w:vAlign w:val="bottom"/>
            <w:tcBorders>
              <w:bottom w:val="single" w:sz="8" w:color="0000EE"/>
            </w:tcBorders>
            <w:gridSpan w:val="10"/>
          </w:tcPr>
          <w:p>
            <w:pPr>
              <w:spacing w:after="0"/>
              <w:rPr>
                <w:rFonts w:ascii="Arial" w:cs="Arial" w:eastAsia="Arial" w:hAnsi="Arial"/>
                <w:sz w:val="18"/>
                <w:szCs w:val="18"/>
                <w:color w:val="0000EE"/>
                <w:w w:val="90"/>
              </w:rPr>
            </w:pPr>
            <w:hyperlink r:id="rId272">
              <w:r>
                <w:rPr>
                  <w:rFonts w:ascii="Arial" w:cs="Arial" w:eastAsia="Arial" w:hAnsi="Arial"/>
                  <w:sz w:val="18"/>
                  <w:szCs w:val="18"/>
                  <w:color w:val="0000EE"/>
                  <w:w w:val="90"/>
                </w:rPr>
                <w:t>Amendment to the Assigned Capacity and Manufacturing Agreement, by and between Forty Seven, Inc. and Lonza Sales AG, dated</w:t>
              </w:r>
            </w:hyperlink>
          </w:p>
        </w:tc>
        <w:tc>
          <w:tcPr>
            <w:tcW w:w="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80" w:type="dxa"/>
            <w:vAlign w:val="bottom"/>
            <w:gridSpan w:val="11"/>
          </w:tcPr>
          <w:p>
            <w:pPr>
              <w:spacing w:after="0" w:line="196" w:lineRule="exact"/>
              <w:rPr>
                <w:rFonts w:ascii="Arial" w:cs="Arial" w:eastAsia="Arial" w:hAnsi="Arial"/>
                <w:sz w:val="18"/>
                <w:szCs w:val="18"/>
                <w:color w:val="0000EE"/>
              </w:rPr>
            </w:pPr>
            <w:hyperlink r:id="rId272">
              <w:r>
                <w:rPr>
                  <w:rFonts w:ascii="Arial" w:cs="Arial" w:eastAsia="Arial" w:hAnsi="Arial"/>
                  <w:sz w:val="18"/>
                  <w:szCs w:val="18"/>
                  <w:color w:val="0000EE"/>
                </w:rPr>
                <w:t>June 9, 2017.</w:t>
              </w:r>
            </w:hyperlink>
          </w:p>
        </w:tc>
      </w:tr>
      <w:tr>
        <w:trPr>
          <w:trHeight w:val="20"/>
        </w:trPr>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740" w:type="dxa"/>
            <w:vAlign w:val="bottom"/>
          </w:tcPr>
          <w:p>
            <w:pPr>
              <w:spacing w:after="0"/>
              <w:rPr>
                <w:sz w:val="24"/>
                <w:szCs w:val="24"/>
                <w:color w:val="auto"/>
              </w:rPr>
            </w:pPr>
          </w:p>
        </w:tc>
        <w:tc>
          <w:tcPr>
            <w:tcW w:w="93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Assigned Capacity and Manufacturing Agreement for 2000 L Scale, by and between Forty Seven, Inc. and Lonza Biologics Tuas</w:t>
            </w:r>
          </w:p>
        </w:tc>
        <w:tc>
          <w:tcPr>
            <w:tcW w:w="28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Pte Ltd, dated December 21, 2017.</w:t>
            </w:r>
          </w:p>
        </w:tc>
        <w:tc>
          <w:tcPr>
            <w:tcW w:w="7060" w:type="dxa"/>
            <w:vAlign w:val="bottom"/>
            <w:gridSpan w:val="9"/>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74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color w:val="0000EE"/>
              </w:rPr>
            </w:pPr>
            <w:hyperlink r:id="rId273">
              <w:r>
                <w:rPr>
                  <w:rFonts w:ascii="Arial" w:cs="Arial" w:eastAsia="Arial" w:hAnsi="Arial"/>
                  <w:sz w:val="18"/>
                  <w:szCs w:val="18"/>
                  <w:color w:val="0000EE"/>
                </w:rPr>
                <w:t>Forty Seven, Inc. Executive Severance and Change in Control Plan.</w:t>
              </w:r>
            </w:hyperlink>
          </w:p>
        </w:tc>
      </w:tr>
      <w:tr>
        <w:trPr>
          <w:trHeight w:val="20"/>
        </w:trPr>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16.1#</w:t>
            </w:r>
          </w:p>
        </w:tc>
        <w:tc>
          <w:tcPr>
            <w:tcW w:w="74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color w:val="0000EE"/>
              </w:rPr>
            </w:pPr>
            <w:hyperlink r:id="rId274">
              <w:r>
                <w:rPr>
                  <w:rFonts w:ascii="Arial" w:cs="Arial" w:eastAsia="Arial" w:hAnsi="Arial"/>
                  <w:sz w:val="18"/>
                  <w:szCs w:val="18"/>
                  <w:color w:val="0000EE"/>
                </w:rPr>
                <w:t>Letter from PricewaterhouseCoopers LLP to the Securities and Exchange Commission, dated March 23, 2018.</w:t>
              </w:r>
            </w:hyperlink>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42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3760" w:type="dxa"/>
            <w:vAlign w:val="bottom"/>
            <w:tcBorders>
              <w:top w:val="single" w:sz="8" w:color="0000EE"/>
            </w:tcBorders>
            <w:gridSpan w:val="3"/>
          </w:tcPr>
          <w:p>
            <w:pPr>
              <w:spacing w:after="0"/>
              <w:rPr>
                <w:sz w:val="24"/>
                <w:szCs w:val="24"/>
                <w:color w:val="auto"/>
              </w:rPr>
            </w:pPr>
          </w:p>
        </w:tc>
        <w:tc>
          <w:tcPr>
            <w:tcW w:w="1620" w:type="dxa"/>
            <w:vAlign w:val="bottom"/>
            <w:gridSpan w:val="4"/>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740" w:type="dxa"/>
            <w:vAlign w:val="bottom"/>
          </w:tcPr>
          <w:p>
            <w:pPr>
              <w:spacing w:after="0"/>
              <w:rPr>
                <w:sz w:val="24"/>
                <w:szCs w:val="24"/>
                <w:color w:val="auto"/>
              </w:rPr>
            </w:pPr>
          </w:p>
        </w:tc>
        <w:tc>
          <w:tcPr>
            <w:tcW w:w="35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Consent of Cooley LLP (included in Exhibit 5.1).</w:t>
            </w:r>
          </w:p>
        </w:tc>
        <w:tc>
          <w:tcPr>
            <w:tcW w:w="6000" w:type="dxa"/>
            <w:vAlign w:val="bottom"/>
            <w:gridSpan w:val="8"/>
          </w:tcPr>
          <w:p>
            <w:pPr>
              <w:spacing w:after="0"/>
              <w:rPr>
                <w:sz w:val="24"/>
                <w:szCs w:val="24"/>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740" w:type="dxa"/>
            <w:vAlign w:val="bottom"/>
          </w:tcPr>
          <w:p>
            <w:pPr>
              <w:spacing w:after="0"/>
              <w:rPr>
                <w:sz w:val="24"/>
                <w:szCs w:val="24"/>
                <w:color w:val="auto"/>
              </w:rPr>
            </w:pPr>
          </w:p>
        </w:tc>
        <w:tc>
          <w:tcPr>
            <w:tcW w:w="7420" w:type="dxa"/>
            <w:vAlign w:val="bottom"/>
            <w:tcBorders>
              <w:bottom w:val="single" w:sz="8" w:color="0000EE"/>
            </w:tcBorders>
            <w:gridSpan w:val="6"/>
          </w:tcPr>
          <w:p>
            <w:pPr>
              <w:spacing w:after="0"/>
              <w:rPr>
                <w:rFonts w:ascii="Arial" w:cs="Arial" w:eastAsia="Arial" w:hAnsi="Arial"/>
                <w:sz w:val="18"/>
                <w:szCs w:val="18"/>
                <w:color w:val="0000EE"/>
                <w:w w:val="91"/>
              </w:rPr>
            </w:pPr>
            <w:hyperlink r:id="rId275">
              <w:r>
                <w:rPr>
                  <w:rFonts w:ascii="Arial" w:cs="Arial" w:eastAsia="Arial" w:hAnsi="Arial"/>
                  <w:sz w:val="18"/>
                  <w:szCs w:val="18"/>
                  <w:color w:val="0000EE"/>
                  <w:w w:val="91"/>
                </w:rPr>
                <w:t>Power of Attorney (see signature page to the original filing of this registration statement on Form S-1).</w:t>
              </w:r>
            </w:hyperlink>
          </w:p>
        </w:tc>
        <w:tc>
          <w:tcPr>
            <w:tcW w:w="2160" w:type="dxa"/>
            <w:vAlign w:val="bottom"/>
            <w:gridSpan w:val="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20" w:hanging="436"/>
        <w:spacing w:after="0" w:line="258" w:lineRule="auto"/>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financial statements or the notes thereto.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jc w:val="both"/>
        <w:ind w:left="200" w:right="20" w:firstLine="44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7" w:lineRule="exact"/>
        <w:rPr>
          <w:sz w:val="20"/>
          <w:szCs w:val="20"/>
          <w:color w:val="auto"/>
        </w:rPr>
      </w:pPr>
    </w:p>
    <w:p>
      <w:pPr>
        <w:jc w:val="both"/>
        <w:ind w:left="200" w:right="20" w:firstLine="441"/>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060" w:right="20" w:hanging="310"/>
        <w:spacing w:after="0" w:line="291" w:lineRule="auto"/>
        <w:tabs>
          <w:tab w:leader="none" w:pos="10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on Rule 430A and contained in a form of prospectus filed by the registrant pursuant to Rule 424(b)(1) or</w:t>
      </w:r>
    </w:p>
    <w:p>
      <w:pPr>
        <w:ind w:left="1060"/>
        <w:spacing w:after="0"/>
        <w:rPr>
          <w:rFonts w:ascii="Arial" w:cs="Arial" w:eastAsia="Arial" w:hAnsi="Arial"/>
          <w:sz w:val="16"/>
          <w:szCs w:val="16"/>
          <w:color w:val="auto"/>
        </w:rPr>
      </w:pPr>
      <w:r>
        <w:rPr>
          <w:rFonts w:ascii="Arial" w:cs="Arial" w:eastAsia="Arial" w:hAnsi="Arial"/>
          <w:sz w:val="17"/>
          <w:szCs w:val="17"/>
          <w:color w:val="auto"/>
        </w:rPr>
        <w:t>(4) or 497(h) under the Securities Act will be deemed to be part of this Registration Statement as of the time it was declared effective.</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060" w:hanging="310"/>
        <w:spacing w:after="0" w:line="264"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will be deemed to be a new registration statement relating to the securities offered therein, and the offering of such securities at that time will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6" w:lineRule="exact"/>
        <w:rPr>
          <w:rFonts w:ascii="Arial" w:cs="Arial" w:eastAsia="Arial" w:hAnsi="Arial"/>
          <w:sz w:val="18"/>
          <w:szCs w:val="18"/>
          <w:color w:val="auto"/>
        </w:rPr>
      </w:pPr>
    </w:p>
    <w:p>
      <w:pPr>
        <w:jc w:val="both"/>
        <w:ind w:left="1060" w:hanging="310"/>
        <w:spacing w:after="0" w:line="257"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jc w:val="both"/>
        <w:ind w:left="1060" w:hanging="310"/>
        <w:spacing w:after="0" w:line="291" w:lineRule="auto"/>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Amendment No. 2 to Registration Statement to be signed on its behalf by the undersigned, thereunto duly authorized, in Menlo Park, California on June 18, 2018.</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FORTY SEVEN, INC.</w:t>
      </w:r>
    </w:p>
    <w:p>
      <w:pPr>
        <w:spacing w:after="0" w:line="121"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ARK</w:t>
            </w:r>
            <w:r>
              <w:rPr>
                <w:rFonts w:ascii="Arial" w:cs="Arial" w:eastAsia="Arial" w:hAnsi="Arial"/>
                <w:sz w:val="18"/>
                <w:szCs w:val="18"/>
                <w:color w:val="auto"/>
              </w:rPr>
              <w:t xml:space="preserve"> A. M</w:t>
            </w:r>
            <w:r>
              <w:rPr>
                <w:rFonts w:ascii="Arial" w:cs="Arial" w:eastAsia="Arial" w:hAnsi="Arial"/>
                <w:sz w:val="15"/>
                <w:szCs w:val="15"/>
                <w:color w:val="auto"/>
              </w:rPr>
              <w:t>C</w:t>
            </w:r>
            <w:r>
              <w:rPr>
                <w:rFonts w:ascii="Arial" w:cs="Arial" w:eastAsia="Arial" w:hAnsi="Arial"/>
                <w:sz w:val="18"/>
                <w:szCs w:val="18"/>
                <w:color w:val="auto"/>
              </w:rPr>
              <w:t>C</w:t>
            </w:r>
            <w:r>
              <w:rPr>
                <w:rFonts w:ascii="Arial" w:cs="Arial" w:eastAsia="Arial" w:hAnsi="Arial"/>
                <w:sz w:val="15"/>
                <w:szCs w:val="15"/>
                <w:color w:val="auto"/>
              </w:rPr>
              <w:t>AMISH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Mark A. McCamish, M.D.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Pursuant to the requirements of the Securities Act, this Amendment No. 2 to Registration Statement has been signed by the following persons in the capacities and on the dates indicated.</w:t>
      </w:r>
    </w:p>
    <w:p>
      <w:pPr>
        <w:sectPr>
          <w:pgSz w:w="11900" w:h="16838" w:orient="portrait"/>
          <w:cols w:equalWidth="0" w:num="1">
            <w:col w:w="11240"/>
          </w:cols>
          <w:pgMar w:left="240" w:top="459" w:right="419" w:bottom="1440" w:gutter="0" w:footer="0" w:header="0"/>
        </w:sectPr>
      </w:pPr>
    </w:p>
    <w:p>
      <w:pPr>
        <w:spacing w:after="0" w:line="189" w:lineRule="exact"/>
        <w:rPr>
          <w:sz w:val="20"/>
          <w:szCs w:val="20"/>
          <w:color w:val="auto"/>
        </w:rPr>
      </w:pPr>
    </w:p>
    <w:p>
      <w:pPr>
        <w:jc w:val="right"/>
        <w:ind w:right="1720"/>
        <w:spacing w:after="0"/>
        <w:rPr>
          <w:sz w:val="20"/>
          <w:szCs w:val="20"/>
          <w:color w:val="auto"/>
        </w:rPr>
      </w:pPr>
      <w:r>
        <w:rPr>
          <w:rFonts w:ascii="Arial" w:cs="Arial" w:eastAsia="Arial" w:hAnsi="Arial"/>
          <w:sz w:val="14"/>
          <w:szCs w:val="14"/>
          <w:b w:val="1"/>
          <w:bCs w:val="1"/>
          <w:u w:val="single" w:color="auto"/>
          <w:color w:val="auto"/>
        </w:rPr>
        <w:t>Signature</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ARK</w:t>
      </w:r>
      <w:r>
        <w:rPr>
          <w:rFonts w:ascii="Arial" w:cs="Arial" w:eastAsia="Arial" w:hAnsi="Arial"/>
          <w:sz w:val="18"/>
          <w:szCs w:val="18"/>
          <w:color w:val="auto"/>
        </w:rPr>
        <w:t xml:space="preserve"> A. M</w:t>
      </w:r>
      <w:r>
        <w:rPr>
          <w:rFonts w:ascii="Arial" w:cs="Arial" w:eastAsia="Arial" w:hAnsi="Arial"/>
          <w:sz w:val="15"/>
          <w:szCs w:val="15"/>
          <w:color w:val="auto"/>
        </w:rPr>
        <w:t>C</w:t>
      </w:r>
      <w:r>
        <w:rPr>
          <w:rFonts w:ascii="Arial" w:cs="Arial" w:eastAsia="Arial" w:hAnsi="Arial"/>
          <w:sz w:val="18"/>
          <w:szCs w:val="18"/>
          <w:color w:val="auto"/>
        </w:rPr>
        <w:t>C</w:t>
      </w:r>
      <w:r>
        <w:rPr>
          <w:rFonts w:ascii="Arial" w:cs="Arial" w:eastAsia="Arial" w:hAnsi="Arial"/>
          <w:sz w:val="15"/>
          <w:szCs w:val="15"/>
          <w:color w:val="auto"/>
        </w:rPr>
        <w:t>AMISH</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 A. McCamish,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735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A</w:t>
      </w:r>
      <w:r>
        <w:rPr>
          <w:rFonts w:ascii="Arial" w:cs="Arial" w:eastAsia="Arial" w:hAnsi="Arial"/>
          <w:sz w:val="15"/>
          <w:szCs w:val="15"/>
          <w:color w:val="auto"/>
        </w:rPr>
        <w:t>NN</w:t>
      </w:r>
      <w:r>
        <w:rPr>
          <w:rFonts w:ascii="Arial" w:cs="Arial" w:eastAsia="Arial" w:hAnsi="Arial"/>
          <w:sz w:val="18"/>
          <w:szCs w:val="18"/>
          <w:color w:val="auto"/>
        </w:rPr>
        <w:t xml:space="preserve"> D. R</w:t>
      </w:r>
      <w:r>
        <w:rPr>
          <w:rFonts w:ascii="Arial" w:cs="Arial" w:eastAsia="Arial" w:hAnsi="Arial"/>
          <w:sz w:val="15"/>
          <w:szCs w:val="15"/>
          <w:color w:val="auto"/>
        </w:rPr>
        <w:t>HOADS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 D. Rhoads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735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Kristine M.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735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Jeffrey W. Bird,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735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Ian T.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735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Dennis J. Henner,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735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Ravindra Majeti,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735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Christopher J. Schaepe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735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Irving L. Weissman,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735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ARK</w:t>
      </w:r>
      <w:r>
        <w:rPr>
          <w:rFonts w:ascii="Arial" w:cs="Arial" w:eastAsia="Arial" w:hAnsi="Arial"/>
          <w:sz w:val="18"/>
          <w:szCs w:val="18"/>
          <w:color w:val="auto"/>
        </w:rPr>
        <w:t xml:space="preserve"> A. M</w:t>
      </w:r>
      <w:r>
        <w:rPr>
          <w:rFonts w:ascii="Arial" w:cs="Arial" w:eastAsia="Arial" w:hAnsi="Arial"/>
          <w:sz w:val="15"/>
          <w:szCs w:val="15"/>
          <w:color w:val="auto"/>
        </w:rPr>
        <w:t>C</w:t>
      </w:r>
      <w:r>
        <w:rPr>
          <w:rFonts w:ascii="Arial" w:cs="Arial" w:eastAsia="Arial" w:hAnsi="Arial"/>
          <w:sz w:val="18"/>
          <w:szCs w:val="18"/>
          <w:color w:val="auto"/>
        </w:rPr>
        <w:t>C</w:t>
      </w:r>
      <w:r>
        <w:rPr>
          <w:rFonts w:ascii="Arial" w:cs="Arial" w:eastAsia="Arial" w:hAnsi="Arial"/>
          <w:sz w:val="15"/>
          <w:szCs w:val="15"/>
          <w:color w:val="auto"/>
        </w:rPr>
        <w:t>AMISH</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Mark A. McCamish,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25730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500" w:type="dxa"/>
            <w:vAlign w:val="bottom"/>
            <w:gridSpan w:val="2"/>
          </w:tcPr>
          <w:p>
            <w:pPr>
              <w:jc w:val="center"/>
              <w:ind w:right="2220"/>
              <w:spacing w:after="0"/>
              <w:rPr>
                <w:sz w:val="20"/>
                <w:szCs w:val="20"/>
                <w:color w:val="auto"/>
              </w:rPr>
            </w:pPr>
            <w:r>
              <w:rPr>
                <w:rFonts w:ascii="Arial" w:cs="Arial" w:eastAsia="Arial" w:hAnsi="Arial"/>
                <w:sz w:val="14"/>
                <w:szCs w:val="14"/>
                <w:b w:val="1"/>
                <w:bCs w:val="1"/>
                <w:color w:val="auto"/>
                <w:w w:val="97"/>
              </w:rPr>
              <w:t>Title</w:t>
            </w:r>
          </w:p>
        </w:tc>
        <w:tc>
          <w:tcPr>
            <w:tcW w:w="150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5"/>
        </w:trPr>
        <w:tc>
          <w:tcPr>
            <w:tcW w:w="4200" w:type="dxa"/>
            <w:vAlign w:val="bottom"/>
            <w:gridSpan w:val="3"/>
          </w:tcPr>
          <w:p>
            <w:pPr>
              <w:jc w:val="center"/>
              <w:ind w:right="500"/>
              <w:spacing w:after="0" w:line="195" w:lineRule="exact"/>
              <w:rPr>
                <w:sz w:val="20"/>
                <w:szCs w:val="20"/>
                <w:color w:val="auto"/>
              </w:rPr>
            </w:pPr>
            <w:r>
              <w:rPr>
                <w:rFonts w:ascii="Arial" w:cs="Arial" w:eastAsia="Arial" w:hAnsi="Arial"/>
                <w:sz w:val="18"/>
                <w:szCs w:val="18"/>
                <w:color w:val="auto"/>
                <w:w w:val="91"/>
              </w:rPr>
              <w:t>President and Chief Executive Officer and Director</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43"/>
        </w:trPr>
        <w:tc>
          <w:tcPr>
            <w:tcW w:w="4200" w:type="dxa"/>
            <w:vAlign w:val="bottom"/>
            <w:gridSpan w:val="3"/>
          </w:tcPr>
          <w:p>
            <w:pPr>
              <w:jc w:val="center"/>
              <w:ind w:right="5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June 18, 2018</w:t>
            </w:r>
          </w:p>
        </w:tc>
      </w:tr>
      <w:tr>
        <w:trPr>
          <w:trHeight w:val="216"/>
        </w:trPr>
        <w:tc>
          <w:tcPr>
            <w:tcW w:w="420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Chief Financial Officer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44"/>
        </w:trPr>
        <w:tc>
          <w:tcPr>
            <w:tcW w:w="42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June 18, 2018</w:t>
            </w:r>
          </w:p>
        </w:tc>
      </w:tr>
      <w:tr>
        <w:trPr>
          <w:trHeight w:val="459"/>
        </w:trPr>
        <w:tc>
          <w:tcPr>
            <w:tcW w:w="42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June 18, 2018</w:t>
            </w:r>
          </w:p>
        </w:tc>
      </w:tr>
      <w:tr>
        <w:trPr>
          <w:trHeight w:val="459"/>
        </w:trPr>
        <w:tc>
          <w:tcPr>
            <w:tcW w:w="42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June 18, 2018</w:t>
            </w:r>
          </w:p>
        </w:tc>
      </w:tr>
      <w:tr>
        <w:trPr>
          <w:trHeight w:val="459"/>
        </w:trPr>
        <w:tc>
          <w:tcPr>
            <w:tcW w:w="42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June 18, 2018</w:t>
            </w:r>
          </w:p>
        </w:tc>
      </w:tr>
      <w:tr>
        <w:trPr>
          <w:trHeight w:val="459"/>
        </w:trPr>
        <w:tc>
          <w:tcPr>
            <w:tcW w:w="42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June 18, 2018</w:t>
            </w:r>
          </w:p>
        </w:tc>
      </w:tr>
      <w:tr>
        <w:trPr>
          <w:trHeight w:val="459"/>
        </w:trPr>
        <w:tc>
          <w:tcPr>
            <w:tcW w:w="42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June 18, 2018</w:t>
            </w:r>
          </w:p>
        </w:tc>
      </w:tr>
      <w:tr>
        <w:trPr>
          <w:trHeight w:val="459"/>
        </w:trPr>
        <w:tc>
          <w:tcPr>
            <w:tcW w:w="42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June 18, 2018</w:t>
            </w:r>
          </w:p>
        </w:tc>
      </w:tr>
      <w:tr>
        <w:trPr>
          <w:trHeight w:val="459"/>
        </w:trPr>
        <w:tc>
          <w:tcPr>
            <w:tcW w:w="42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June 18, 2018</w:t>
            </w:r>
          </w:p>
        </w:tc>
      </w:tr>
    </w:tbl>
    <w:p>
      <w:pPr>
        <w:sectPr>
          <w:pgSz w:w="11900" w:h="16838" w:orient="portrait"/>
          <w:cols w:equalWidth="0" w:num="2">
            <w:col w:w="4380" w:space="720"/>
            <w:col w:w="6140"/>
          </w:cols>
          <w:pgMar w:left="240" w:top="459" w:right="419" w:bottom="1440" w:gutter="0" w:footer="0" w:header="0"/>
          <w:type w:val="continuous"/>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ind w:left="5560" w:hanging="218"/>
        <w:spacing w:after="0"/>
        <w:tabs>
          <w:tab w:leader="none" w:pos="55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25" w:lineRule="exact"/>
        <w:rPr>
          <w:rFonts w:ascii="Arial" w:cs="Arial" w:eastAsia="Arial" w:hAnsi="Arial"/>
          <w:sz w:val="18"/>
          <w:szCs w:val="18"/>
          <w:b w:val="1"/>
          <w:bCs w:val="1"/>
          <w:color w:val="auto"/>
        </w:rPr>
      </w:pPr>
    </w:p>
    <w:p>
      <w:pPr>
        <w:ind w:left="4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$ 0.0001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2018</w:t>
      </w:r>
    </w:p>
    <w:p>
      <w:pPr>
        <w:sectPr>
          <w:pgSz w:w="11900" w:h="16838" w:orient="portrait"/>
          <w:cols w:equalWidth="0" w:num="1">
            <w:col w:w="11420"/>
          </w:cols>
          <w:pgMar w:left="240" w:top="122"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Forty Seven,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named in Schedule I hereto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 for whom Morgan Stanley &amp; Co. LLC and Credit Suisse Securities (USA) LLC are acting as representatives (collectively,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w:t>
      </w:r>
      <w:r>
        <w:rPr>
          <w:rFonts w:ascii="Arial" w:cs="Arial" w:eastAsia="Arial" w:hAnsi="Arial"/>
          <w:sz w:val="16"/>
          <w:szCs w:val="16"/>
          <w:b w:val="1"/>
          <w:bCs w:val="1"/>
          <w:color w:val="auto"/>
        </w:rPr>
        <w:t>•</w:t>
      </w:r>
      <w:r>
        <w:rPr>
          <w:rFonts w:ascii="Arial" w:cs="Arial" w:eastAsia="Arial" w:hAnsi="Arial"/>
          <w:sz w:val="16"/>
          <w:szCs w:val="16"/>
          <w:color w:val="auto"/>
        </w:rPr>
        <w:t>] shares of its common stock, par value $0.0001 per share (the “</w:t>
      </w:r>
      <w:r>
        <w:rPr>
          <w:rFonts w:ascii="Arial" w:cs="Arial" w:eastAsia="Arial" w:hAnsi="Arial"/>
          <w:sz w:val="16"/>
          <w:szCs w:val="16"/>
          <w:b w:val="1"/>
          <w:bCs w:val="1"/>
          <w:color w:val="auto"/>
        </w:rPr>
        <w:t>Firm Shares</w:t>
      </w:r>
      <w:r>
        <w:rPr>
          <w:rFonts w:ascii="Arial" w:cs="Arial" w:eastAsia="Arial" w:hAnsi="Arial"/>
          <w:sz w:val="16"/>
          <w:szCs w:val="16"/>
          <w:color w:val="auto"/>
        </w:rPr>
        <w:t>”). The Company also proposes to issue and sell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several Underwriters not more than an additional [</w:t>
      </w:r>
      <w:r>
        <w:rPr>
          <w:rFonts w:ascii="Arial" w:cs="Arial" w:eastAsia="Arial" w:hAnsi="Arial"/>
          <w:sz w:val="16"/>
          <w:szCs w:val="16"/>
          <w:b w:val="1"/>
          <w:bCs w:val="1"/>
          <w:color w:val="auto"/>
        </w:rPr>
        <w:t>•</w:t>
      </w:r>
      <w:r>
        <w:rPr>
          <w:rFonts w:ascii="Arial" w:cs="Arial" w:eastAsia="Arial" w:hAnsi="Arial"/>
          <w:sz w:val="16"/>
          <w:szCs w:val="16"/>
          <w:color w:val="auto"/>
        </w:rPr>
        <w:t>] shares of its common stock, par value $0.0001 per share (the “</w:t>
      </w:r>
      <w:r>
        <w:rPr>
          <w:rFonts w:ascii="Arial" w:cs="Arial" w:eastAsia="Arial" w:hAnsi="Arial"/>
          <w:sz w:val="16"/>
          <w:szCs w:val="16"/>
          <w:b w:val="1"/>
          <w:bCs w:val="1"/>
          <w:color w:val="auto"/>
        </w:rPr>
        <w:t>Additional Shares</w:t>
      </w:r>
      <w:r>
        <w:rPr>
          <w:rFonts w:ascii="Arial" w:cs="Arial" w:eastAsia="Arial" w:hAnsi="Arial"/>
          <w:sz w:val="16"/>
          <w:szCs w:val="16"/>
          <w:color w:val="auto"/>
        </w:rPr>
        <w:t>”), if and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you, as Representatives, shall have determined to exercise, on behalf of the Underwriters, the right to purchase such shares of common stock granted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in Section 2 hereof.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The shares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$0.0001 per share, of the Company to be outstanding after giving effect to the sales contemplated hereby are hereinafter referred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0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(File No. 333-225390), including a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If the Company has filed an abbreviated registration statement to register additional shares of Common Stock pursuant to Rule 462(b) under the Securities Act (the “</w:t>
      </w:r>
      <w:r>
        <w:rPr>
          <w:rFonts w:ascii="Arial" w:cs="Arial" w:eastAsia="Arial" w:hAnsi="Arial"/>
          <w:sz w:val="17"/>
          <w:szCs w:val="17"/>
          <w:b w:val="1"/>
          <w:bCs w:val="1"/>
          <w:color w:val="auto"/>
        </w:rPr>
        <w:t>Rule 462 Registration Statement</w:t>
      </w:r>
      <w:r>
        <w:rPr>
          <w:rFonts w:ascii="Arial" w:cs="Arial" w:eastAsia="Arial" w:hAnsi="Arial"/>
          <w:sz w:val="17"/>
          <w:szCs w:val="17"/>
          <w:color w:val="auto"/>
        </w:rPr>
        <w:t>”), then any reference herein to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be deemed to include such Rule 462 Registration Statement.</w:t>
      </w:r>
    </w:p>
    <w:p>
      <w:pPr>
        <w:spacing w:after="0" w:line="17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free writing prospectus</w:t>
      </w:r>
      <w:r>
        <w:rPr>
          <w:rFonts w:ascii="Arial" w:cs="Arial" w:eastAsia="Arial" w:hAnsi="Arial"/>
          <w:sz w:val="18"/>
          <w:szCs w:val="18"/>
          <w:color w:val="auto"/>
        </w:rPr>
        <w:t>” has the meaning set forth in Rule 405 under the Securities Act, “</w:t>
      </w:r>
      <w:r>
        <w:rPr>
          <w:rFonts w:ascii="Arial" w:cs="Arial" w:eastAsia="Arial" w:hAnsi="Arial"/>
          <w:sz w:val="18"/>
          <w:szCs w:val="18"/>
          <w:b w:val="1"/>
          <w:bCs w:val="1"/>
          <w:color w:val="auto"/>
        </w:rPr>
        <w:t>Time of Sale Prospectus</w:t>
      </w:r>
      <w:r>
        <w:rPr>
          <w:rFonts w:ascii="Arial" w:cs="Arial" w:eastAsia="Arial" w:hAnsi="Arial"/>
          <w:sz w:val="18"/>
          <w:szCs w:val="18"/>
          <w:color w:val="auto"/>
        </w:rPr>
        <w:t>” means the preliminary prospectus together with the documents and pricing information set forth in Schedule II hereto, and “</w:t>
      </w:r>
      <w:r>
        <w:rPr>
          <w:rFonts w:ascii="Arial" w:cs="Arial" w:eastAsia="Arial" w:hAnsi="Arial"/>
          <w:sz w:val="18"/>
          <w:szCs w:val="18"/>
          <w:b w:val="1"/>
          <w:bCs w:val="1"/>
          <w:color w:val="auto"/>
        </w:rPr>
        <w:t>broadly available road show</w:t>
      </w:r>
      <w:r>
        <w:rPr>
          <w:rFonts w:ascii="Arial" w:cs="Arial" w:eastAsia="Arial" w:hAnsi="Arial"/>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ectPr>
          <w:pgSz w:w="11900" w:h="16838" w:orient="portrait"/>
          <w:cols w:equalWidth="0" w:num="1">
            <w:col w:w="11420"/>
          </w:cols>
          <w:pgMar w:left="240" w:top="270" w:right="239" w:bottom="1440" w:gutter="0" w:footer="0" w:header="0"/>
        </w:sectPr>
      </w:pPr>
    </w:p>
    <w:bookmarkStart w:id="204" w:name="page205"/>
    <w:bookmarkEnd w:id="204"/>
    <w:p>
      <w:pPr>
        <w:ind w:left="180" w:hanging="176"/>
        <w:spacing w:after="0"/>
        <w:tabs>
          <w:tab w:leader="none" w:pos="1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w:t>
      </w:r>
      <w:r>
        <w:rPr>
          <w:rFonts w:ascii="Arial" w:cs="Arial" w:eastAsia="Arial" w:hAnsi="Arial"/>
          <w:sz w:val="18"/>
          <w:szCs w:val="18"/>
          <w:color w:val="auto"/>
        </w:rPr>
        <w:t>. The Company represents and warrants to and agrees with each of the Underwriters that:</w:t>
      </w:r>
    </w:p>
    <w:p>
      <w:pPr>
        <w:spacing w:after="0" w:line="117" w:lineRule="exact"/>
        <w:rPr>
          <w:rFonts w:ascii="Arial" w:cs="Arial" w:eastAsia="Arial" w:hAnsi="Arial"/>
          <w:sz w:val="18"/>
          <w:szCs w:val="18"/>
          <w:color w:val="auto"/>
        </w:rPr>
      </w:pPr>
    </w:p>
    <w:p>
      <w:pPr>
        <w:ind w:right="60" w:firstLine="443"/>
        <w:spacing w:after="0" w:line="277" w:lineRule="auto"/>
        <w:tabs>
          <w:tab w:leader="none" w:pos="68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62" w:lineRule="exact"/>
        <w:rPr>
          <w:rFonts w:ascii="Arial" w:cs="Arial" w:eastAsia="Arial" w:hAnsi="Arial"/>
          <w:sz w:val="18"/>
          <w:szCs w:val="18"/>
          <w:color w:val="auto"/>
        </w:rPr>
      </w:pPr>
    </w:p>
    <w:p>
      <w:pPr>
        <w:ind w:firstLine="443"/>
        <w:spacing w:after="0" w:line="268" w:lineRule="auto"/>
        <w:tabs>
          <w:tab w:leader="none" w:pos="69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 the Registration Statement and the Prospectus comply and, as amended or supplemented, if applicable, will, as of the date of such amendment or supplement,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at the Closing Date (as defined in Section 4) and at any Option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will not contain, as of its date at the Closing Date, and at any Option Closing Date,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you expressly for use therein.</w:t>
      </w:r>
    </w:p>
    <w:p>
      <w:pPr>
        <w:spacing w:after="0" w:line="72" w:lineRule="exact"/>
        <w:rPr>
          <w:rFonts w:ascii="Arial" w:cs="Arial" w:eastAsia="Arial" w:hAnsi="Arial"/>
          <w:sz w:val="17"/>
          <w:szCs w:val="17"/>
          <w:color w:val="auto"/>
        </w:rPr>
      </w:pPr>
    </w:p>
    <w:p>
      <w:pPr>
        <w:ind w:right="180" w:firstLine="443"/>
        <w:spacing w:after="0" w:line="259" w:lineRule="auto"/>
        <w:tabs>
          <w:tab w:leader="none" w:pos="68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205" w:name="page206"/>
    <w:bookmarkEnd w:id="205"/>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you before first use, the Company has not prepared, used or referred to, and will not, without your prior consent, prepare, use or refer to, any free writing prospectus.</w:t>
      </w:r>
    </w:p>
    <w:p>
      <w:pPr>
        <w:spacing w:after="0" w:line="80" w:lineRule="exact"/>
        <w:rPr>
          <w:sz w:val="20"/>
          <w:szCs w:val="20"/>
          <w:color w:val="auto"/>
        </w:rPr>
      </w:pPr>
    </w:p>
    <w:p>
      <w:pPr>
        <w:ind w:right="200" w:firstLine="443"/>
        <w:spacing w:after="0" w:line="291" w:lineRule="auto"/>
        <w:tabs>
          <w:tab w:leader="none" w:pos="69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State of Delaware,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reasonably be expected to have a material adverse effect on the business, properties, management, financial position, stockholders’ equity, results of operations or prospects of the Company or on the performance by the Company of its obligations under this Agreement or to consummate the transactions contemplated by the Time of Sale Prospectus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680" w:hanging="237"/>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does not have any subsidiaries.</w:t>
      </w:r>
    </w:p>
    <w:p>
      <w:pPr>
        <w:spacing w:after="0" w:line="117" w:lineRule="exact"/>
        <w:rPr>
          <w:rFonts w:ascii="Arial" w:cs="Arial" w:eastAsia="Arial" w:hAnsi="Arial"/>
          <w:sz w:val="18"/>
          <w:szCs w:val="18"/>
          <w:color w:val="auto"/>
        </w:rPr>
      </w:pPr>
    </w:p>
    <w:p>
      <w:pPr>
        <w:ind w:left="660" w:hanging="217"/>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340" w:firstLine="443"/>
        <w:spacing w:after="0" w:line="277" w:lineRule="auto"/>
        <w:tabs>
          <w:tab w:leader="none" w:pos="69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contained in each of the Time of Sale Prospectus and the Prospectus.</w:t>
      </w:r>
    </w:p>
    <w:p>
      <w:pPr>
        <w:spacing w:after="0" w:line="62" w:lineRule="exact"/>
        <w:rPr>
          <w:rFonts w:ascii="Arial" w:cs="Arial" w:eastAsia="Arial" w:hAnsi="Arial"/>
          <w:sz w:val="18"/>
          <w:szCs w:val="18"/>
          <w:color w:val="auto"/>
        </w:rPr>
      </w:pPr>
    </w:p>
    <w:p>
      <w:pPr>
        <w:ind w:right="100" w:firstLine="443"/>
        <w:spacing w:after="0" w:line="277" w:lineRule="auto"/>
        <w:tabs>
          <w:tab w:leader="none" w:pos="69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62" w:lineRule="exact"/>
        <w:rPr>
          <w:rFonts w:ascii="Arial" w:cs="Arial" w:eastAsia="Arial" w:hAnsi="Arial"/>
          <w:sz w:val="18"/>
          <w:szCs w:val="18"/>
          <w:color w:val="auto"/>
        </w:rPr>
      </w:pPr>
    </w:p>
    <w:p>
      <w:pPr>
        <w:ind w:firstLine="443"/>
        <w:spacing w:after="0" w:line="308" w:lineRule="auto"/>
        <w:tabs>
          <w:tab w:leader="none" w:pos="65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Shares have been duly authorized and, when issued, delivered and paid for in accordance with the terms of this Agreement, will be validly issued, fully paid and non-assessable, and the issuance of such Shares will not be subject to any preemptive or similar rights.</w:t>
      </w:r>
    </w:p>
    <w:p>
      <w:pPr>
        <w:spacing w:after="0" w:line="38" w:lineRule="exact"/>
        <w:rPr>
          <w:rFonts w:ascii="Arial" w:cs="Arial" w:eastAsia="Arial" w:hAnsi="Arial"/>
          <w:sz w:val="17"/>
          <w:szCs w:val="17"/>
          <w:color w:val="auto"/>
        </w:rPr>
      </w:pPr>
    </w:p>
    <w:p>
      <w:pPr>
        <w:ind w:right="40" w:firstLine="443"/>
        <w:spacing w:after="0" w:line="254" w:lineRule="auto"/>
        <w:tabs>
          <w:tab w:leader="none" w:pos="65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that is material to the Company, or (iv) any judgment, order or decree of any governmental body, agency or court having jurisdiction over the Company, except that in the case of clauses (i), (iii) and (iv) as would not, individually or in the aggregate, reasonably be expected to have a Material Adverse Effect; and no consent, approval, authorization or order of, or qualification with, any governmental body or agency is required for the performance by the Company of its obligations under this Agreement, except such as may be required by the securities or Blue Sky laws of the various states or the rules and regulations of the Financial Industry Regulatory Authority (“</w:t>
      </w:r>
      <w:r>
        <w:rPr>
          <w:rFonts w:ascii="Arial" w:cs="Arial" w:eastAsia="Arial" w:hAnsi="Arial"/>
          <w:sz w:val="18"/>
          <w:szCs w:val="18"/>
          <w:b w:val="1"/>
          <w:bCs w:val="1"/>
          <w:color w:val="auto"/>
        </w:rPr>
        <w:t>FINRA</w:t>
      </w:r>
      <w:r>
        <w:rPr>
          <w:rFonts w:ascii="Arial" w:cs="Arial" w:eastAsia="Arial" w:hAnsi="Arial"/>
          <w:sz w:val="18"/>
          <w:szCs w:val="18"/>
          <w:color w:val="auto"/>
        </w:rPr>
        <w:t>”) in connection with the offer and sale of the Shares.</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206" w:name="page207"/>
    <w:bookmarkEnd w:id="206"/>
    <w:p>
      <w:pPr>
        <w:ind w:right="220" w:firstLine="443"/>
        <w:spacing w:after="0" w:line="308" w:lineRule="auto"/>
        <w:tabs>
          <w:tab w:leader="none" w:pos="693" w:val="left"/>
        </w:tabs>
        <w:numPr>
          <w:ilvl w:val="1"/>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has not occurred any material adverse change, or any development involving a prospective material adverse change, in the condition, financial or otherwise, or in the earnings, business or operations of the Company from that set forth in the Time of Sale Prospectus.</w:t>
      </w:r>
    </w:p>
    <w:p>
      <w:pPr>
        <w:spacing w:after="0" w:line="38" w:lineRule="exact"/>
        <w:rPr>
          <w:rFonts w:ascii="Arial" w:cs="Arial" w:eastAsia="Arial" w:hAnsi="Arial"/>
          <w:sz w:val="17"/>
          <w:szCs w:val="17"/>
          <w:color w:val="auto"/>
        </w:rPr>
      </w:pPr>
    </w:p>
    <w:p>
      <w:pPr>
        <w:ind w:right="100" w:firstLine="443"/>
        <w:spacing w:after="0" w:line="273" w:lineRule="auto"/>
        <w:tabs>
          <w:tab w:leader="none" w:pos="65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to the knowledge of the Company, threatened to which the Company is a party or to which any of the properties of the Company is subject (i) other than proceedings accurately described in all material respects in the Time of Sale Prospectus and proceedings that would not reasonably, individually or in the aggregate, be expected to have a Material Adverse Effect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70" w:lineRule="exact"/>
        <w:rPr>
          <w:rFonts w:ascii="Arial" w:cs="Arial" w:eastAsia="Arial" w:hAnsi="Arial"/>
          <w:sz w:val="17"/>
          <w:szCs w:val="17"/>
          <w:color w:val="auto"/>
        </w:rPr>
      </w:pPr>
    </w:p>
    <w:p>
      <w:pPr>
        <w:jc w:val="both"/>
        <w:ind w:right="480" w:firstLine="443"/>
        <w:spacing w:after="0" w:line="264" w:lineRule="auto"/>
        <w:tabs>
          <w:tab w:leader="none" w:pos="74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right="200" w:firstLine="443"/>
        <w:spacing w:after="0" w:line="264" w:lineRule="auto"/>
        <w:tabs>
          <w:tab w:leader="none" w:pos="69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73" w:lineRule="exact"/>
        <w:rPr>
          <w:rFonts w:ascii="Arial" w:cs="Arial" w:eastAsia="Arial" w:hAnsi="Arial"/>
          <w:sz w:val="18"/>
          <w:szCs w:val="18"/>
          <w:color w:val="auto"/>
        </w:rPr>
      </w:pPr>
    </w:p>
    <w:p>
      <w:pPr>
        <w:ind w:firstLine="443"/>
        <w:spacing w:after="0" w:line="288" w:lineRule="auto"/>
        <w:tabs>
          <w:tab w:leader="none" w:pos="69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(ii) has received all permits, licenses or other approvals required of them under applicable Environmental Laws to conduct their respective businesses and</w:t>
      </w:r>
    </w:p>
    <w:p>
      <w:pPr>
        <w:ind w:right="340" w:firstLine="4"/>
        <w:spacing w:after="0" w:line="277" w:lineRule="auto"/>
        <w:tabs>
          <w:tab w:leader="none" w:pos="31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w:t>
      </w:r>
    </w:p>
    <w:p>
      <w:pPr>
        <w:spacing w:after="0" w:line="65" w:lineRule="exact"/>
        <w:rPr>
          <w:rFonts w:ascii="Arial" w:cs="Arial" w:eastAsia="Arial" w:hAnsi="Arial"/>
          <w:sz w:val="17"/>
          <w:szCs w:val="17"/>
          <w:color w:val="auto"/>
        </w:rPr>
      </w:pPr>
    </w:p>
    <w:p>
      <w:pPr>
        <w:ind w:right="420" w:firstLine="443"/>
        <w:spacing w:after="0" w:line="259" w:lineRule="auto"/>
        <w:tabs>
          <w:tab w:leader="none" w:pos="69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reasonably be expected to have a Material Adverse Effect.</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207" w:name="page208"/>
    <w:bookmarkEnd w:id="207"/>
    <w:p>
      <w:pPr>
        <w:ind w:right="220" w:firstLine="443"/>
        <w:spacing w:after="0" w:line="257" w:lineRule="auto"/>
        <w:tabs>
          <w:tab w:leader="none" w:pos="693"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those contracts, agreements and understandings described in the Time of Sale Prospectus and the Prospectus, all of which have been validly waived in connection with the issuance and sale of the Shares contemplated hereby.</w:t>
      </w:r>
    </w:p>
    <w:p>
      <w:pPr>
        <w:spacing w:after="0" w:line="80" w:lineRule="exact"/>
        <w:rPr>
          <w:rFonts w:ascii="Arial" w:cs="Arial" w:eastAsia="Arial" w:hAnsi="Arial"/>
          <w:sz w:val="18"/>
          <w:szCs w:val="18"/>
          <w:color w:val="auto"/>
        </w:rPr>
      </w:pPr>
    </w:p>
    <w:p>
      <w:pPr>
        <w:ind w:right="60" w:firstLine="443"/>
        <w:spacing w:after="0" w:line="269" w:lineRule="auto"/>
        <w:tabs>
          <w:tab w:leader="none" w:pos="66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 None of the Company or any director or officer thereof, or, to the Company’s knowledge, any affiliate of the Company or any employee, agent or representative of the Company or of any of its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improperly influence official action, or to any person in violation of any applicable anti-corruption laws; (ii) the Company and its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the Company will not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4" w:lineRule="exact"/>
        <w:rPr>
          <w:rFonts w:ascii="Arial" w:cs="Arial" w:eastAsia="Arial" w:hAnsi="Arial"/>
          <w:sz w:val="17"/>
          <w:szCs w:val="17"/>
          <w:color w:val="auto"/>
        </w:rPr>
      </w:pPr>
    </w:p>
    <w:p>
      <w:pPr>
        <w:ind w:right="100" w:firstLine="443"/>
        <w:spacing w:after="0" w:line="272" w:lineRule="auto"/>
        <w:tabs>
          <w:tab w:leader="none" w:pos="67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with respect to the Anti-Money Laundering Laws is pending or, to the best knowledge of the Company, threatened.</w:t>
      </w:r>
    </w:p>
    <w:p>
      <w:pPr>
        <w:spacing w:after="0" w:line="69" w:lineRule="exact"/>
        <w:rPr>
          <w:rFonts w:ascii="Arial" w:cs="Arial" w:eastAsia="Arial" w:hAnsi="Arial"/>
          <w:sz w:val="17"/>
          <w:szCs w:val="17"/>
          <w:color w:val="auto"/>
        </w:rPr>
      </w:pPr>
    </w:p>
    <w:p>
      <w:pPr>
        <w:ind w:firstLine="443"/>
        <w:spacing w:after="0" w:line="264" w:lineRule="auto"/>
        <w:tabs>
          <w:tab w:leader="none" w:pos="6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None of the Company, or any director or officer thereof, or, to the Company’s knowledge, any affiliate or any employee, agent, or representative of the Company or any of its affiliates,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208" w:name="page209"/>
    <w:bookmarkEnd w:id="208"/>
    <w:p>
      <w:pPr>
        <w:jc w:val="both"/>
        <w:ind w:left="1040" w:right="180" w:firstLine="389"/>
        <w:spacing w:after="0" w:line="264" w:lineRule="auto"/>
        <w:tabs>
          <w:tab w:leader="none" w:pos="1732" w:val="left"/>
        </w:tabs>
        <w:numPr>
          <w:ilvl w:val="2"/>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subject of any sanctions administered or enforced by the U.S. Department of Treasury’s Office of Foreign Assets Control, the United Nations Security Council, the European Union, Her Majesty’s Treasury, the Swiss Secretariat of Economic Affairs,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1040" w:right="300" w:firstLine="389"/>
        <w:spacing w:after="0" w:line="277" w:lineRule="auto"/>
        <w:tabs>
          <w:tab w:leader="none" w:pos="1722" w:val="left"/>
        </w:tabs>
        <w:numPr>
          <w:ilvl w:val="2"/>
          <w:numId w:val="118"/>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62" w:lineRule="exact"/>
        <w:rPr>
          <w:rFonts w:ascii="Arial" w:cs="Arial" w:eastAsia="Arial" w:hAnsi="Arial"/>
          <w:sz w:val="18"/>
          <w:szCs w:val="18"/>
          <w:color w:val="auto"/>
        </w:rPr>
      </w:pPr>
    </w:p>
    <w:p>
      <w:pPr>
        <w:ind w:left="460" w:right="400" w:firstLine="421"/>
        <w:spacing w:after="0" w:line="277" w:lineRule="auto"/>
        <w:tabs>
          <w:tab w:leader="none" w:pos="114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1040" w:right="540" w:firstLine="389"/>
        <w:spacing w:after="0" w:line="277" w:lineRule="auto"/>
        <w:tabs>
          <w:tab w:leader="none" w:pos="1732"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1040" w:firstLine="389"/>
        <w:spacing w:after="0" w:line="277" w:lineRule="auto"/>
        <w:tabs>
          <w:tab w:leader="none" w:pos="1722" w:val="left"/>
        </w:tabs>
        <w:numPr>
          <w:ilvl w:val="2"/>
          <w:numId w:val="119"/>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jc w:val="both"/>
        <w:ind w:left="460" w:right="500" w:firstLine="421"/>
        <w:spacing w:after="0" w:line="264" w:lineRule="auto"/>
        <w:tabs>
          <w:tab w:leader="none" w:pos="119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 the past 5 years, the Company has not knowingly engaged in, is not now knowingly engaged in, and will not engage in, any dealings or transactions with any Person, or in any country or territory, that at the time of the dealing or transaction is or was the subject of Sanctions.</w:t>
      </w:r>
    </w:p>
    <w:p>
      <w:pPr>
        <w:spacing w:after="0" w:line="73" w:lineRule="exact"/>
        <w:rPr>
          <w:rFonts w:ascii="Arial" w:cs="Arial" w:eastAsia="Arial" w:hAnsi="Arial"/>
          <w:sz w:val="18"/>
          <w:szCs w:val="18"/>
          <w:color w:val="auto"/>
        </w:rPr>
      </w:pPr>
    </w:p>
    <w:p>
      <w:pPr>
        <w:ind w:right="20" w:firstLine="443"/>
        <w:spacing w:after="0" w:line="288" w:lineRule="auto"/>
        <w:tabs>
          <w:tab w:leader="none" w:pos="69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 (ii) the Company has not purchased any of its outstanding capital stock, other than from its employees or other service-providers in connection with the termination of their service pursuant to equity compensation plans or agreements described in the Time of Sale Prospectus or in connection with the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of equity awards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Time of Sale Prospectus), short-term debt or long-term debt of the Company, except in each case as described in each of the Registration Statement, the Time of Sale Prospectus and the Prospectus, respectively.</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74" w:right="259" w:bottom="1440" w:gutter="0" w:footer="0" w:header="0"/>
        </w:sectPr>
      </w:pPr>
    </w:p>
    <w:bookmarkStart w:id="209" w:name="page210"/>
    <w:bookmarkEnd w:id="209"/>
    <w:p>
      <w:pPr>
        <w:ind w:right="100" w:firstLine="443"/>
        <w:spacing w:after="0" w:line="293" w:lineRule="auto"/>
        <w:tabs>
          <w:tab w:leader="none" w:pos="693"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does not own any real property. The Company has good and marketable title to all personal property owned by it which is material to the business of the Company,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in any material respect; and any real property and buildings held under lease by the Company are held by them under valid, subsisting and, to the Company’s knowledge, enforceable leases with such exceptions as are not material and do not materially interfere with the use made and proposed to be made of such property and buildings by the Company, in each case except as described in the Time of Sale Prospectus.</w:t>
      </w:r>
    </w:p>
    <w:p>
      <w:pPr>
        <w:spacing w:after="0" w:line="56" w:lineRule="exact"/>
        <w:rPr>
          <w:rFonts w:ascii="Arial" w:cs="Arial" w:eastAsia="Arial" w:hAnsi="Arial"/>
          <w:sz w:val="16"/>
          <w:szCs w:val="16"/>
          <w:color w:val="auto"/>
        </w:rPr>
      </w:pPr>
    </w:p>
    <w:p>
      <w:pPr>
        <w:ind w:firstLine="443"/>
        <w:spacing w:after="0" w:line="285" w:lineRule="auto"/>
        <w:tabs>
          <w:tab w:leader="none" w:pos="73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Time of Sale Prospectus or the Prospectus, the Company owns, possesses or licenses, or can acquire on commercially reasonable terms, valid and enforceable rights to use all patents, patent rights, licenses, inventions, copyrights, know-how (including trade secrets and other unpatented and/or unpatentable proprietary or confidential information, systems or procedures), trademarks, service marks, trade names, domain names and other intellectual property (including all registrations and applications for registration of any of the foregoing, as applicable)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currently employed by them in connection with, or necessary for, the business as currently operated by it, except where the failure to own, possess, license, have the right to use or the ability to acquire any of the foregoing would not result, individually or in the aggregate, in a Material Adverse Effect. Except as disclosed in the Registration Statement, Time of Sale Prospectus and Prospectus, the Company has not received any notice of any claim, action, suit or proceeding (i) alleging infringement, misappropriation or other violation of, or conflict with, any Intellectual Property rights of others or (ii) challenging the validity, enforceability or scope of, or the rights of the Company in or to, any Intellectual Property owned by or licensed to the Company, in each case which action, suit, proceeding or claim, individually or in the aggregate, if the subject of an unfavorable decision, ruling or finding, would reasonably be expected to have a Material Adverse Effect, and the Company is unaware of any facts that provide a reasonable basis for any such claim, action, suit or proceeding described in the immediately preceding clause (i) or (ii), which would individually or in the aggregate, reasonably be expected to have a Material Adverse Effect. Except as would not, individually or in the aggregate, reasonably be expected to have a Material Adverse Effect, the Company has taken reasonable steps in accordance with customary industry practice to maintain the confidentiality of all Intellectual Property, the value of which to the Company is contingent upon maintaining the confidentiality thereof. Each agreement pursuant to which the Company obtains any license or other rights to any Intellectual Property is a valid and binding agreement of the Company and is in full force and effect, and none of the Company or, to the knowledge of the Company, any other party thereto is in default or breach under any terms of any such agreement and, to the knowledge of the Company, no event or circumstance has occurred that, with notice or lapse of time or both, would constitute any event of default thereunder.</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74" w:right="299" w:bottom="1440" w:gutter="0" w:footer="0" w:header="0"/>
        </w:sectPr>
      </w:pPr>
    </w:p>
    <w:bookmarkStart w:id="210" w:name="page211"/>
    <w:bookmarkEnd w:id="210"/>
    <w:p>
      <w:pPr>
        <w:ind w:firstLine="443"/>
        <w:spacing w:after="0" w:line="312" w:lineRule="auto"/>
        <w:tabs>
          <w:tab w:leader="none" w:pos="693" w:val="left"/>
        </w:tabs>
        <w:numPr>
          <w:ilvl w:val="0"/>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labor dispute with the employees of the Company exists, except as described in the Time of Sale Prospectus, or, to the knowledge of the Company, is imminent; and the Company is not aware of any existing, threatened or imminent labor disturbance by the employees of any of its principal suppliers, manufacturers or contractors that would, individually or in the aggregate, reasonably be expected to have a Material Adverse Effect.</w:t>
      </w:r>
    </w:p>
    <w:p>
      <w:pPr>
        <w:spacing w:after="0" w:line="38" w:lineRule="exact"/>
        <w:rPr>
          <w:rFonts w:ascii="Arial" w:cs="Arial" w:eastAsia="Arial" w:hAnsi="Arial"/>
          <w:sz w:val="16"/>
          <w:szCs w:val="16"/>
          <w:color w:val="auto"/>
        </w:rPr>
      </w:pPr>
    </w:p>
    <w:p>
      <w:pPr>
        <w:ind w:right="120" w:firstLine="443"/>
        <w:spacing w:after="0" w:line="297" w:lineRule="auto"/>
        <w:tabs>
          <w:tab w:leader="none" w:pos="69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is insured by insurers of recognized financial responsibility against such losses and risks and in such amounts as, in the reasonable judgment of the Company, are prudent and customary in the businesses in which they are engaged;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except as described in the Time of Sale Prospectus.</w:t>
      </w:r>
    </w:p>
    <w:p>
      <w:pPr>
        <w:spacing w:after="0" w:line="50" w:lineRule="exact"/>
        <w:rPr>
          <w:rFonts w:ascii="Arial" w:cs="Arial" w:eastAsia="Arial" w:hAnsi="Arial"/>
          <w:sz w:val="16"/>
          <w:szCs w:val="16"/>
          <w:color w:val="auto"/>
        </w:rPr>
      </w:pPr>
    </w:p>
    <w:p>
      <w:pPr>
        <w:ind w:right="40" w:firstLine="443"/>
        <w:spacing w:after="0" w:line="297" w:lineRule="auto"/>
        <w:tabs>
          <w:tab w:leader="none" w:pos="6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possesses all certificates, authorizations and permits issued by the appropriate federal, state or foreign regulatory authorities necessary to conduct their respective businesses, except where the failure to obtain such certificates, authorizations and permits would not, individually or in the aggregate, reasonably be expected to have a Material Adverse Effect, and the Company has not received any notice of proceedings relating to the revocation or modification of any such certificate, authorization or permit which, individually or in the aggregate, if the subject of an unfavorable decision, ruling or finding, would reasonably be expected to have a Material Adverse Effect, except as described in the Time of Sale Prospectus.</w:t>
      </w:r>
    </w:p>
    <w:p>
      <w:pPr>
        <w:spacing w:after="0" w:line="50" w:lineRule="exact"/>
        <w:rPr>
          <w:sz w:val="20"/>
          <w:szCs w:val="20"/>
          <w:color w:val="auto"/>
        </w:rPr>
      </w:pPr>
    </w:p>
    <w:p>
      <w:pPr>
        <w:ind w:firstLine="443"/>
        <w:spacing w:after="0" w:line="271" w:lineRule="auto"/>
        <w:tabs>
          <w:tab w:leader="none" w:pos="763"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70" w:lineRule="exact"/>
        <w:rPr>
          <w:rFonts w:ascii="Arial" w:cs="Arial" w:eastAsia="Arial" w:hAnsi="Arial"/>
          <w:sz w:val="17"/>
          <w:szCs w:val="17"/>
          <w:color w:val="auto"/>
        </w:rPr>
      </w:pPr>
    </w:p>
    <w:p>
      <w:pPr>
        <w:jc w:val="both"/>
        <w:ind w:firstLine="443"/>
        <w:spacing w:after="0" w:line="259" w:lineRule="auto"/>
        <w:tabs>
          <w:tab w:leader="none" w:pos="78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or the Registration Statement,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211" w:name="page212"/>
    <w:bookmarkEnd w:id="211"/>
    <w:p>
      <w:pPr>
        <w:ind w:firstLine="443"/>
        <w:spacing w:after="0" w:line="255" w:lineRule="auto"/>
        <w:tabs>
          <w:tab w:leader="none" w:pos="763"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filed all federal, state, local and foreign tax returns required to be filed through the date of this Agreement or has requested extensions thereof and has paid all taxes required to be paid thereon (except for cases in which the failure to file or pay would not, individually or in the aggregate, reasonably be expected to have a Material Adverse Effect, or, except as currently being contested in good faith and for which reserves required by U.S. GAAP have been created in the financial statements of the Company), and no tax deficiency has been determined adversely to the Company which, individually or in the aggregate, has had (nor does the Company have any notice or knowledge of any tax deficiency which could reasonably be expected to be determined adversely to the Company and which could, individually or in the aggregate, reasonably be expected to have) a Material Adverse Effect.</w:t>
      </w:r>
    </w:p>
    <w:p>
      <w:pPr>
        <w:spacing w:after="0" w:line="81" w:lineRule="exact"/>
        <w:rPr>
          <w:rFonts w:ascii="Arial" w:cs="Arial" w:eastAsia="Arial" w:hAnsi="Arial"/>
          <w:sz w:val="18"/>
          <w:szCs w:val="18"/>
          <w:color w:val="auto"/>
        </w:rPr>
      </w:pPr>
    </w:p>
    <w:p>
      <w:pPr>
        <w:ind w:firstLine="443"/>
        <w:spacing w:after="0" w:line="257" w:lineRule="auto"/>
        <w:tabs>
          <w:tab w:leader="none" w:pos="78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w:t>
      </w:r>
    </w:p>
    <w:p>
      <w:pPr>
        <w:spacing w:after="0" w:line="80" w:lineRule="exact"/>
        <w:rPr>
          <w:rFonts w:ascii="Arial" w:cs="Arial" w:eastAsia="Arial" w:hAnsi="Arial"/>
          <w:sz w:val="18"/>
          <w:szCs w:val="18"/>
          <w:color w:val="auto"/>
        </w:rPr>
      </w:pPr>
    </w:p>
    <w:p>
      <w:pPr>
        <w:ind w:right="20" w:firstLine="443"/>
        <w:spacing w:after="0" w:line="255" w:lineRule="auto"/>
        <w:tabs>
          <w:tab w:leader="none" w:pos="76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81" w:lineRule="exact"/>
        <w:rPr>
          <w:rFonts w:ascii="Arial" w:cs="Arial" w:eastAsia="Arial" w:hAnsi="Arial"/>
          <w:sz w:val="18"/>
          <w:szCs w:val="18"/>
          <w:color w:val="auto"/>
        </w:rPr>
      </w:pPr>
    </w:p>
    <w:p>
      <w:pPr>
        <w:ind w:firstLine="443"/>
        <w:spacing w:after="0" w:line="257" w:lineRule="auto"/>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12" w:name="page213"/>
    <w:bookmarkEnd w:id="212"/>
    <w:p>
      <w:pPr>
        <w:jc w:val="both"/>
        <w:ind w:right="60" w:firstLine="443"/>
        <w:spacing w:after="0" w:line="312" w:lineRule="auto"/>
        <w:tabs>
          <w:tab w:leader="none" w:pos="7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operated at all times and is currently in compliance in all material respects with all applicable statutes, rules, regulations and policies of the U.S.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and applicable foreign regulatory authorities, including the European Medicines Agency and the UK Medicines &amp; Healthcare products Regulatory Agency (collectively, the “</w:t>
      </w:r>
      <w:r>
        <w:rPr>
          <w:rFonts w:ascii="Arial" w:cs="Arial" w:eastAsia="Arial" w:hAnsi="Arial"/>
          <w:sz w:val="16"/>
          <w:szCs w:val="16"/>
          <w:b w:val="1"/>
          <w:bCs w:val="1"/>
          <w:color w:val="auto"/>
        </w:rPr>
        <w:t>Regulatory Authorities</w:t>
      </w:r>
      <w:r>
        <w:rPr>
          <w:rFonts w:ascii="Arial" w:cs="Arial" w:eastAsia="Arial" w:hAnsi="Arial"/>
          <w:sz w:val="16"/>
          <w:szCs w:val="16"/>
          <w:color w:val="auto"/>
        </w:rPr>
        <w:t>”), including, without limitation:</w:t>
      </w:r>
    </w:p>
    <w:p>
      <w:pPr>
        <w:spacing w:after="0" w:line="38" w:lineRule="exact"/>
        <w:rPr>
          <w:rFonts w:ascii="Arial" w:cs="Arial" w:eastAsia="Arial" w:hAnsi="Arial"/>
          <w:sz w:val="16"/>
          <w:szCs w:val="16"/>
          <w:color w:val="auto"/>
        </w:rPr>
      </w:pPr>
    </w:p>
    <w:p>
      <w:pPr>
        <w:ind w:left="1100" w:hanging="219"/>
        <w:spacing w:after="0"/>
        <w:tabs>
          <w:tab w:leader="none" w:pos="11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Federal Food, Drug, and Cosmetic Act and the regulations promulgated thereunder;</w:t>
      </w:r>
    </w:p>
    <w:p>
      <w:pPr>
        <w:spacing w:after="0" w:line="117" w:lineRule="exact"/>
        <w:rPr>
          <w:rFonts w:ascii="Arial" w:cs="Arial" w:eastAsia="Arial" w:hAnsi="Arial"/>
          <w:sz w:val="18"/>
          <w:szCs w:val="18"/>
          <w:color w:val="auto"/>
        </w:rPr>
      </w:pPr>
    </w:p>
    <w:p>
      <w:pPr>
        <w:ind w:left="460" w:firstLine="421"/>
        <w:spacing w:after="0" w:line="255" w:lineRule="auto"/>
        <w:tabs>
          <w:tab w:leader="none" w:pos="114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w:t>
      </w:r>
      <w:r>
        <w:rPr>
          <w:rFonts w:ascii="Arial" w:cs="Arial" w:eastAsia="Arial" w:hAnsi="Arial"/>
          <w:sz w:val="18"/>
          <w:szCs w:val="18"/>
          <w:b w:val="1"/>
          <w:bCs w:val="1"/>
          <w:color w:val="auto"/>
        </w:rPr>
        <w:t>HIPAA</w:t>
      </w:r>
      <w:r>
        <w:rPr>
          <w:rFonts w:ascii="Arial" w:cs="Arial" w:eastAsia="Arial" w:hAnsi="Arial"/>
          <w:sz w:val="18"/>
          <w:szCs w:val="18"/>
          <w:color w:val="auto"/>
        </w:rPr>
        <w:t>”) (42 U.S.C. Section 1320d et seq.), the exclusion laws, the statutes, regulations and directives of applicable government funded or sponsored healthcare programs, and the regulations promulgated pursuant to such statutes;</w:t>
      </w:r>
    </w:p>
    <w:p>
      <w:pPr>
        <w:spacing w:after="0" w:line="81" w:lineRule="exact"/>
        <w:rPr>
          <w:rFonts w:ascii="Arial" w:cs="Arial" w:eastAsia="Arial" w:hAnsi="Arial"/>
          <w:sz w:val="18"/>
          <w:szCs w:val="18"/>
          <w:color w:val="auto"/>
        </w:rPr>
      </w:pPr>
    </w:p>
    <w:p>
      <w:pPr>
        <w:ind w:left="460" w:right="120" w:firstLine="421"/>
        <w:spacing w:after="0" w:line="259" w:lineRule="auto"/>
        <w:tabs>
          <w:tab w:leader="none" w:pos="119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any other law or regulation the purpose of which is to protect the privacy of individuals or prescribers;</w:t>
      </w:r>
    </w:p>
    <w:p>
      <w:pPr>
        <w:spacing w:after="0" w:line="78" w:lineRule="exact"/>
        <w:rPr>
          <w:rFonts w:ascii="Arial" w:cs="Arial" w:eastAsia="Arial" w:hAnsi="Arial"/>
          <w:sz w:val="18"/>
          <w:szCs w:val="18"/>
          <w:color w:val="auto"/>
        </w:rPr>
      </w:pPr>
    </w:p>
    <w:p>
      <w:pPr>
        <w:ind w:left="460" w:right="20" w:firstLine="421"/>
        <w:spacing w:after="0" w:line="277" w:lineRule="auto"/>
        <w:tabs>
          <w:tab w:leader="none" w:pos="118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Patient Protection and Affordable Care Act of 2010, as amended by the Health Care and Education Reconciliation Act of 2010, the regulations promulgated thereunder;</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U.S. Controlled Substances Act (21 U.S.C. Section 801 et seq.);</w:t>
      </w:r>
    </w:p>
    <w:p>
      <w:pPr>
        <w:spacing w:after="0" w:line="117" w:lineRule="exact"/>
        <w:rPr>
          <w:rFonts w:ascii="Arial" w:cs="Arial" w:eastAsia="Arial" w:hAnsi="Arial"/>
          <w:sz w:val="18"/>
          <w:szCs w:val="18"/>
          <w:color w:val="auto"/>
        </w:rPr>
      </w:pPr>
    </w:p>
    <w:p>
      <w:pPr>
        <w:ind w:left="1180" w:hanging="299"/>
        <w:spacing w:after="0"/>
        <w:tabs>
          <w:tab w:leader="none" w:pos="11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licensure, quality, safety and accreditation requirements under applicable federal, state, local or foreign laws or regulatory bodies; and</w:t>
      </w:r>
    </w:p>
    <w:p>
      <w:pPr>
        <w:spacing w:after="0" w:line="140" w:lineRule="exact"/>
        <w:rPr>
          <w:rFonts w:ascii="Arial" w:cs="Arial" w:eastAsia="Arial" w:hAnsi="Arial"/>
          <w:sz w:val="16"/>
          <w:szCs w:val="16"/>
          <w:color w:val="auto"/>
        </w:rPr>
      </w:pPr>
    </w:p>
    <w:p>
      <w:pPr>
        <w:ind w:left="460" w:right="80" w:firstLine="421"/>
        <w:spacing w:after="0" w:line="259" w:lineRule="auto"/>
        <w:tabs>
          <w:tab w:leader="none" w:pos="123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 (i) through (vii), collectively, “</w:t>
      </w:r>
      <w:r>
        <w:rPr>
          <w:rFonts w:ascii="Arial" w:cs="Arial" w:eastAsia="Arial" w:hAnsi="Arial"/>
          <w:sz w:val="18"/>
          <w:szCs w:val="18"/>
          <w:b w:val="1"/>
          <w:bCs w:val="1"/>
          <w:color w:val="auto"/>
        </w:rPr>
        <w:t>Health Care Laws</w:t>
      </w:r>
      <w:r>
        <w:rPr>
          <w:rFonts w:ascii="Arial" w:cs="Arial" w:eastAsia="Arial" w:hAnsi="Arial"/>
          <w:sz w:val="18"/>
          <w:szCs w:val="18"/>
          <w:color w:val="auto"/>
        </w:rPr>
        <w:t>”).</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00" w:top="274" w:right="299" w:bottom="1440" w:gutter="0" w:footer="0" w:header="0"/>
        </w:sectPr>
      </w:pPr>
    </w:p>
    <w:bookmarkStart w:id="213" w:name="page214"/>
    <w:bookmarkEnd w:id="213"/>
    <w:p>
      <w:pPr>
        <w:ind w:firstLine="443"/>
        <w:spacing w:after="0" w:line="286" w:lineRule="auto"/>
        <w:tabs>
          <w:tab w:leader="none" w:pos="783" w:val="left"/>
        </w:tabs>
        <w:numPr>
          <w:ilvl w:val="0"/>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the studies, tests and preclinical and clinical trials conducted by or on behalf of or sponsored by the Company or in which the Company has participated, were, and if still pending are, being conducted in all material respects in accordance with standard medical and experimental protocols, procedures and controls pursuant to accepted professional scientific research standards and procedures, and all applicable Health Care Laws, the rules and regulations of the Regulatory Authorities and current Good Clinical Practices and Good Laboratory Practices; (ii) the descriptions of the results of such studies and trials contained in the Registration Statement, the Time of Sale Prospectus or the Prospectus are accurate and complete in all material respects and fairly present the data derived from such trials and studies; (iii) the Company has no knowledge of any other studies or trials not described in the Registration Statement, the Time of Sale Prospectus and the Prospectus, the results of which are inconsistent with or call into question the results described or referred to in the Registration Statement, the Time of Sale Prospectus and the Prospectus; (iv) the Company has provided the Underwriters with all substantive written notices, correspondence and summaries of all other communications provided to the Company or its subsidiaries from the Regulatory Authorities; and (v) the Company has not received any written notices, correspondence or other communications from any Regulatory Authority or any other governmental entity requiring or threatening the termination, modification or suspension of any studies or trials that are described in the Registration Statement, the Time of Sale Prospectus and the Prospectus or the results of which are referred to in the Registration Statement, the Time of Sale Prospectus and the Prospectus, and, to the Company’s knowledge, there are no reasonable grounds for the same.</w:t>
      </w:r>
    </w:p>
    <w:p>
      <w:pPr>
        <w:spacing w:after="0" w:line="66" w:lineRule="exact"/>
        <w:rPr>
          <w:rFonts w:ascii="Arial" w:cs="Arial" w:eastAsia="Arial" w:hAnsi="Arial"/>
          <w:sz w:val="16"/>
          <w:szCs w:val="16"/>
          <w:color w:val="auto"/>
        </w:rPr>
      </w:pPr>
    </w:p>
    <w:p>
      <w:pPr>
        <w:ind w:right="20" w:firstLine="443"/>
        <w:spacing w:after="0" w:line="268" w:lineRule="auto"/>
        <w:tabs>
          <w:tab w:leader="none" w:pos="70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 Except as would not, individually or in the aggregate, reasonably be expected to have a Material Adverse Effect,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 (iv)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74" w:right="239" w:bottom="1440" w:gutter="0" w:footer="0" w:header="0"/>
        </w:sectPr>
      </w:pPr>
    </w:p>
    <w:bookmarkStart w:id="214" w:name="page215"/>
    <w:bookmarkEnd w:id="214"/>
    <w:p>
      <w:pPr>
        <w:ind w:left="400" w:right="180" w:firstLine="443"/>
        <w:spacing w:after="0" w:line="286" w:lineRule="auto"/>
        <w:tabs>
          <w:tab w:leader="none" w:pos="1103" w:val="left"/>
        </w:tabs>
        <w:numPr>
          <w:ilvl w:val="1"/>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would not, individually or in the aggregate, reasonably be expected to have a Material Adverse Effect, (i) each employee benefit plan, within the meaning of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that is sponsored, maintained, administered or contributed to by the Company has been maintained in compliance with its terms and the requirements of any applicable statutes, orders, rules and regulations, including but not limited to ERISA and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400" w:right="160" w:firstLine="4"/>
        <w:spacing w:after="0" w:line="273" w:lineRule="auto"/>
        <w:tabs>
          <w:tab w:leader="none" w:pos="66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neither the Company nor any member of its “Controlled Group” (defined as any trade or business, whether or not incorporated, that would be regarded as a single employer with the Company under Section 414 of the Code) (x) has ever sponsored, maintained, contributed to or has had any obligation to contribute to, any employee benefit plan that is subject to Title IV of ERISA or any “multiemployer plan” as defined in Section 3(37) of ERISA or (y) has incurred, or reasonably expects to incur, any liability under Title IV of ERISA.</w:t>
      </w:r>
    </w:p>
    <w:p>
      <w:pPr>
        <w:spacing w:after="0" w:line="68" w:lineRule="exact"/>
        <w:rPr>
          <w:rFonts w:ascii="Arial" w:cs="Arial" w:eastAsia="Arial" w:hAnsi="Arial"/>
          <w:sz w:val="17"/>
          <w:szCs w:val="17"/>
          <w:color w:val="auto"/>
        </w:rPr>
      </w:pPr>
    </w:p>
    <w:p>
      <w:pPr>
        <w:ind w:left="400" w:firstLine="443"/>
        <w:spacing w:after="0" w:line="255" w:lineRule="auto"/>
        <w:tabs>
          <w:tab w:leader="none" w:pos="118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financial statements (including the related notes thereto) of the Company included in each of the Registration Statement, the Time of Sale Prospectus and the Prospectus comply in all material respects with the applicable requirements of the Securities Act and present fairly in all material respects the consolidated financial position of the Company as of the dates indicated and the results of its operations and cash flows for the periods specified. Such financial statements have been prepared in conformity with generally accepted accounting principles in the United States applied on a consistent basis throughout the periods involved. The other financial information included in the Registration Statement, the Time of Sale Prospectus and the Prospectus has been derived from the accounting records of the Company and presents fairly in all material respects the information shown thereby.</w:t>
      </w:r>
    </w:p>
    <w:p>
      <w:pPr>
        <w:spacing w:after="0" w:line="81" w:lineRule="exact"/>
        <w:rPr>
          <w:rFonts w:ascii="Arial" w:cs="Arial" w:eastAsia="Arial" w:hAnsi="Arial"/>
          <w:sz w:val="18"/>
          <w:szCs w:val="18"/>
          <w:color w:val="auto"/>
        </w:rPr>
      </w:pPr>
    </w:p>
    <w:p>
      <w:pPr>
        <w:ind w:left="400" w:right="80" w:firstLine="443"/>
        <w:spacing w:after="0" w:line="259" w:lineRule="auto"/>
        <w:tabs>
          <w:tab w:leader="none" w:pos="110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Ernst &amp; Young LLP, which has expressed its opinion with respect to the financial statements of the Company filed with the Commission as a part of the Registration Statement and included in each of the Time of Sale Prospectus and the Prospectus, is an independent registered public accounting firm with respect to the Company within the applicable rules and regulations adopted by the Commission and the Public Company Accounting Oversight Board (United States) and as required by the Securities Act.</w:t>
      </w:r>
    </w:p>
    <w:p>
      <w:pPr>
        <w:spacing w:after="0" w:line="78" w:lineRule="exact"/>
        <w:rPr>
          <w:rFonts w:ascii="Arial" w:cs="Arial" w:eastAsia="Arial" w:hAnsi="Arial"/>
          <w:sz w:val="18"/>
          <w:szCs w:val="18"/>
          <w:color w:val="auto"/>
        </w:rPr>
      </w:pPr>
    </w:p>
    <w:p>
      <w:pPr>
        <w:ind w:left="400" w:right="400" w:firstLine="443"/>
        <w:spacing w:after="0" w:line="259" w:lineRule="auto"/>
        <w:tabs>
          <w:tab w:leader="none" w:pos="128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statistical, industry-related and market-related data included in the Registration Statement, the Time of Sale Prospectus or the Prospectus are based on or derived from sources that the Company reasonably and in good faith believes to be reliable and accurate in all material respects, such data is consistent with the sources from which they are derived, and, to the extent required, the Company has obtained the written consent to the use of such data from such sources.</w:t>
      </w:r>
    </w:p>
    <w:p>
      <w:pPr>
        <w:spacing w:after="0" w:line="78" w:lineRule="exact"/>
        <w:rPr>
          <w:rFonts w:ascii="Arial" w:cs="Arial" w:eastAsia="Arial" w:hAnsi="Arial"/>
          <w:sz w:val="18"/>
          <w:szCs w:val="18"/>
          <w:color w:val="auto"/>
        </w:rPr>
      </w:pPr>
    </w:p>
    <w:p>
      <w:pPr>
        <w:ind w:left="400" w:right="300" w:firstLine="443"/>
        <w:spacing w:after="0" w:line="277" w:lineRule="auto"/>
        <w:tabs>
          <w:tab w:leader="none" w:pos="118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Company does not have any securities rated by any “nationally recognized statistical rating organization,” as such term is defined in Section 3(a)(62) of the Exchange Act.</w:t>
      </w:r>
    </w:p>
    <w:p>
      <w:pPr>
        <w:spacing w:after="0" w:line="170" w:lineRule="exact"/>
        <w:rPr>
          <w:sz w:val="20"/>
          <w:szCs w:val="20"/>
          <w:color w:val="auto"/>
        </w:rPr>
      </w:pPr>
    </w:p>
    <w:p>
      <w:pPr>
        <w:ind w:left="-60" w:right="40" w:firstLine="921"/>
        <w:spacing w:after="0" w:line="312" w:lineRule="auto"/>
        <w:tabs>
          <w:tab w:leader="none" w:pos="1033"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sell to the several Underwriters, and each Underwriter, upon the basis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herein contained, but subject to the conditions hereinafter stated, agrees, severally and not jointly, to purchase from the Company the respective numbers of Firm Shares set forth in Schedule I hereto opposite its name at $[•] a share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300" w:top="274" w:right="279" w:bottom="1440" w:gutter="0" w:footer="0" w:header="0"/>
        </w:sectPr>
      </w:pPr>
    </w:p>
    <w:bookmarkStart w:id="215" w:name="page216"/>
    <w:bookmarkEnd w:id="215"/>
    <w:p>
      <w:pPr>
        <w:ind w:right="4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You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you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69" w:lineRule="exact"/>
        <w:rPr>
          <w:sz w:val="20"/>
          <w:szCs w:val="20"/>
          <w:color w:val="auto"/>
        </w:rPr>
      </w:pPr>
    </w:p>
    <w:p>
      <w:pPr>
        <w:jc w:val="both"/>
        <w:ind w:firstLine="464"/>
        <w:spacing w:after="0" w:line="259" w:lineRule="auto"/>
        <w:tabs>
          <w:tab w:leader="none" w:pos="636"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Company is advised by you that the Underwriters propose to make a public offering of their respective portions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as soon after the Registration Statement and this Agreement have become effective as in your judgment is advisable. The Company is further advised by you that the Shares are to be offered to the public initially at $[•] a share (the “</w:t>
      </w:r>
      <w:r>
        <w:rPr>
          <w:rFonts w:ascii="Arial" w:cs="Arial" w:eastAsia="Arial" w:hAnsi="Arial"/>
          <w:sz w:val="18"/>
          <w:szCs w:val="18"/>
          <w:b w:val="1"/>
          <w:bCs w:val="1"/>
          <w:color w:val="auto"/>
        </w:rPr>
        <w:t>Public Offering Price</w:t>
      </w:r>
      <w:r>
        <w:rPr>
          <w:rFonts w:ascii="Arial" w:cs="Arial" w:eastAsia="Arial" w:hAnsi="Arial"/>
          <w:sz w:val="18"/>
          <w:szCs w:val="18"/>
          <w:color w:val="auto"/>
        </w:rPr>
        <w:t>”) and to certain dealers selected by you at a price that represents a concession not in excess of $[•] a share under the Public Offering Price.</w:t>
      </w:r>
    </w:p>
    <w:p>
      <w:pPr>
        <w:spacing w:after="0" w:line="186" w:lineRule="exact"/>
        <w:rPr>
          <w:rFonts w:ascii="Arial" w:cs="Arial" w:eastAsia="Arial" w:hAnsi="Arial"/>
          <w:sz w:val="18"/>
          <w:szCs w:val="18"/>
          <w:color w:val="auto"/>
        </w:rPr>
      </w:pPr>
    </w:p>
    <w:p>
      <w:pPr>
        <w:ind w:firstLine="464"/>
        <w:spacing w:after="0" w:line="259" w:lineRule="auto"/>
        <w:tabs>
          <w:tab w:leader="none" w:pos="636"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Payment and Delivery. </w:t>
      </w:r>
      <w:r>
        <w:rPr>
          <w:rFonts w:ascii="Arial" w:cs="Arial" w:eastAsia="Arial" w:hAnsi="Arial"/>
          <w:sz w:val="18"/>
          <w:szCs w:val="18"/>
          <w:color w:val="auto"/>
        </w:rPr>
        <w:t>Payment for the Firm Shares shall be made to the Company in Federal or other funds immediately available in New York City</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delivery of such Firm Shares for the respective accounts of the several Underwriters at 10:00 a.m., New York City time, on [•], or at such other time on the same or such other date, not later than [•], as shall be designated in writing by you.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as shall be designated in writing by you.</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16" w:name="page217"/>
    <w:bookmarkEnd w:id="216"/>
    <w:p>
      <w:pPr>
        <w:ind w:right="22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Firm Shares and Additional Shares shall be registered in such names and in such denominations as you shall request in writing not later than one full business day prior to the Closing Date or the applicable Option Closing Date, as the case may be. The Firm Shares and Additional Shares shall be delivered to you on the Closing Date or an Option Closing Date, as the case may be, for the 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w:t>
      </w:r>
    </w:p>
    <w:p>
      <w:pPr>
        <w:spacing w:after="0" w:line="173" w:lineRule="exact"/>
        <w:rPr>
          <w:sz w:val="20"/>
          <w:szCs w:val="20"/>
          <w:color w:val="auto"/>
        </w:rPr>
      </w:pPr>
    </w:p>
    <w:p>
      <w:pPr>
        <w:ind w:firstLine="464"/>
        <w:spacing w:after="0" w:line="264" w:lineRule="auto"/>
        <w:tabs>
          <w:tab w:leader="none" w:pos="636"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Underwriters and the several obligations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to purchase and pay for the Shares on the Closing Date are subject to the condition that the Registration Statement shall have become effective not later than [•] (New York City time) on the date 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117" w:lineRule="exact"/>
        <w:rPr>
          <w:sz w:val="20"/>
          <w:szCs w:val="20"/>
          <w:color w:val="auto"/>
        </w:rPr>
      </w:pPr>
    </w:p>
    <w:p>
      <w:pPr>
        <w:ind w:left="460" w:right="20" w:firstLine="443"/>
        <w:spacing w:after="0" w:line="279" w:lineRule="auto"/>
        <w:tabs>
          <w:tab w:leader="none" w:pos="114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and prior to the Closing Date there shall not have occurred any change, or any development involving a prospective change, in the condition, financial or otherwise, or in the earnings, business or operations of the Company from that set forth in the Time of Sale Prospectus that, in your judgment, is material and adverse and that makes it, in your judgment, impracticable to market the Shares on the terms and in the manner contemplated in the Time of Sale Prospectus.</w:t>
      </w:r>
    </w:p>
    <w:p>
      <w:pPr>
        <w:spacing w:after="0" w:line="63" w:lineRule="exact"/>
        <w:rPr>
          <w:rFonts w:ascii="Arial" w:cs="Arial" w:eastAsia="Arial" w:hAnsi="Arial"/>
          <w:sz w:val="17"/>
          <w:szCs w:val="17"/>
          <w:color w:val="auto"/>
        </w:rPr>
      </w:pPr>
    </w:p>
    <w:p>
      <w:pPr>
        <w:ind w:left="460" w:right="40" w:firstLine="443"/>
        <w:spacing w:after="0" w:line="259"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 certificate, dated the Closing Date and signed by an executive officer of the Company,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left="460" w:right="260" w:firstLine="443"/>
        <w:spacing w:after="0" w:line="277" w:lineRule="auto"/>
        <w:tabs>
          <w:tab w:leader="none" w:pos="114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(i) an opinion and (ii) a negative assurance letter of Cooley LLP, outside counsel for the Company, dated the Closing Date, in form and substance reasonably satisfactory to the Representatives.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17" w:name="page218"/>
    <w:bookmarkEnd w:id="217"/>
    <w:p>
      <w:pPr>
        <w:ind w:left="460" w:firstLine="443"/>
        <w:spacing w:after="0" w:line="277" w:lineRule="auto"/>
        <w:tabs>
          <w:tab w:leader="none" w:pos="1153"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Underwriters shall have received on the Closing Date an opinion of Bozicevic, Field &amp; Francis, LLP, outside intellectual property counsel for the Company, dated the Closing Date, in form and substance reasonably satisfactory to the Representatives.</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(i) an opinion and (ii) a negative assurance letter of Davis Polk &amp; Wardwell LLP</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Davis Polk</w:t>
      </w:r>
      <w:r>
        <w:rPr>
          <w:rFonts w:ascii="Arial" w:cs="Arial" w:eastAsia="Arial" w:hAnsi="Arial"/>
          <w:sz w:val="18"/>
          <w:szCs w:val="18"/>
          <w:color w:val="auto"/>
        </w:rPr>
        <w:t>”), counsel for the Underwriters, dated the Closing Date, in form and substance satisfactory to the Representatives.</w:t>
      </w:r>
    </w:p>
    <w:p>
      <w:pPr>
        <w:spacing w:after="0" w:line="21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With respect to Section 5(c)(ii) and 5(e)(ii) above, Cooley LLP and Davis Polk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6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opinion and negative assurance letter of Cooley LLP described in Section 5(c) and the opinion of Bozicevic, Field &amp; Francis, LLP described in Section 5(d) above shall be rendered to the Underwriters at the request of the Company and shall so state therein.</w:t>
      </w:r>
    </w:p>
    <w:p>
      <w:pPr>
        <w:spacing w:after="0" w:line="62" w:lineRule="exact"/>
        <w:rPr>
          <w:sz w:val="20"/>
          <w:szCs w:val="20"/>
          <w:color w:val="auto"/>
        </w:rPr>
      </w:pPr>
    </w:p>
    <w:p>
      <w:pPr>
        <w:ind w:left="460" w:right="80" w:firstLine="443"/>
        <w:spacing w:after="0" w:line="276" w:lineRule="auto"/>
        <w:tabs>
          <w:tab w:leader="none" w:pos="112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The Underwriters shall have received, on each of the date hereof and the Closing Date, a letter dated the date hereof or the Closing Date, as the case may be, in form and substance reasonably satisfactory to the Representatives, from Ernst &amp; Young LLP, independent registered public accounting firm,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letter delivered on the Closing Date shall use a “cut-off date” not earlier than the date hereof.</w:t>
      </w:r>
    </w:p>
    <w:p>
      <w:pPr>
        <w:spacing w:after="0" w:line="64" w:lineRule="exact"/>
        <w:rPr>
          <w:rFonts w:ascii="Arial" w:cs="Arial" w:eastAsia="Arial" w:hAnsi="Arial"/>
          <w:sz w:val="17"/>
          <w:szCs w:val="17"/>
          <w:color w:val="auto"/>
        </w:rPr>
      </w:pPr>
    </w:p>
    <w:p>
      <w:pPr>
        <w:ind w:left="460" w:right="100" w:firstLine="443"/>
        <w:spacing w:after="0" w:line="264" w:lineRule="auto"/>
        <w:tabs>
          <w:tab w:leader="none" w:pos="11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between you and certain shareholders, officers and directors of the Company relating to sales and certain other dispositions of shares of Common Stock or certain other securities, delivered to you on or before the date hereof, shall be in full force and effect on the Closing Date.</w:t>
      </w:r>
    </w:p>
    <w:p>
      <w:pPr>
        <w:spacing w:after="0" w:line="73" w:lineRule="exact"/>
        <w:rPr>
          <w:rFonts w:ascii="Arial" w:cs="Arial" w:eastAsia="Arial" w:hAnsi="Arial"/>
          <w:sz w:val="18"/>
          <w:szCs w:val="18"/>
          <w:color w:val="auto"/>
        </w:rPr>
      </w:pPr>
    </w:p>
    <w:p>
      <w:pPr>
        <w:ind w:left="460" w:right="480" w:firstLine="443"/>
        <w:spacing w:after="0" w:line="277" w:lineRule="auto"/>
        <w:tabs>
          <w:tab w:leader="none" w:pos="11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you on the applicable Option Closing Date of the following:</w:t>
      </w:r>
    </w:p>
    <w:p>
      <w:pPr>
        <w:spacing w:after="0" w:line="62" w:lineRule="exact"/>
        <w:rPr>
          <w:rFonts w:ascii="Arial" w:cs="Arial" w:eastAsia="Arial" w:hAnsi="Arial"/>
          <w:sz w:val="18"/>
          <w:szCs w:val="18"/>
          <w:color w:val="auto"/>
        </w:rPr>
      </w:pPr>
    </w:p>
    <w:p>
      <w:pPr>
        <w:ind w:left="920" w:right="80" w:firstLine="421"/>
        <w:spacing w:after="0" w:line="277" w:lineRule="auto"/>
        <w:tabs>
          <w:tab w:leader="none" w:pos="155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18" w:name="page219"/>
    <w:bookmarkEnd w:id="218"/>
    <w:p>
      <w:pPr>
        <w:ind w:left="460" w:right="100" w:firstLine="421"/>
        <w:spacing w:after="0" w:line="264" w:lineRule="auto"/>
        <w:tabs>
          <w:tab w:leader="none" w:pos="1145" w:val="left"/>
        </w:tabs>
        <w:numPr>
          <w:ilvl w:val="2"/>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opinion and negative assurance letter of Cooley LLP, outside counsel for the Company, dated the Option Closing Date, relating to the Additional Shares to be purchased on such Option Closing Date and otherwise to the same effect as the opinion and negative assurance letter required by Section 5(c) hereof;</w:t>
      </w:r>
    </w:p>
    <w:p>
      <w:pPr>
        <w:spacing w:after="0" w:line="73" w:lineRule="exact"/>
        <w:rPr>
          <w:rFonts w:ascii="Arial" w:cs="Arial" w:eastAsia="Arial" w:hAnsi="Arial"/>
          <w:sz w:val="18"/>
          <w:szCs w:val="18"/>
          <w:color w:val="auto"/>
        </w:rPr>
      </w:pPr>
    </w:p>
    <w:p>
      <w:pPr>
        <w:ind w:left="460" w:right="140" w:firstLine="421"/>
        <w:spacing w:after="0" w:line="277" w:lineRule="auto"/>
        <w:tabs>
          <w:tab w:leader="none" w:pos="1195"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an opinion of Bozicevic, Field &amp; Francis, LLP, outside intellectual property counsel for the Company, dated the Option Closing Date, to the same effect as the opinion required by Section 5(d) hereof;</w:t>
      </w:r>
    </w:p>
    <w:p>
      <w:pPr>
        <w:spacing w:after="0" w:line="62" w:lineRule="exact"/>
        <w:rPr>
          <w:rFonts w:ascii="Arial" w:cs="Arial" w:eastAsia="Arial" w:hAnsi="Arial"/>
          <w:sz w:val="18"/>
          <w:szCs w:val="18"/>
          <w:color w:val="auto"/>
        </w:rPr>
      </w:pPr>
    </w:p>
    <w:p>
      <w:pPr>
        <w:jc w:val="both"/>
        <w:ind w:left="460" w:right="340" w:firstLine="421"/>
        <w:spacing w:after="0" w:line="264" w:lineRule="auto"/>
        <w:tabs>
          <w:tab w:leader="none" w:pos="1185"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an opinion and negative assurance letter of Davis Polk, counsel for the Underwriters, dated the Option Closing Date, relating to the Additional Shares to be purchased on such Option Closing Date and otherwise to the same effect as the opinion and negative assurance letter required by Section 5(e) hereof;</w:t>
      </w:r>
    </w:p>
    <w:p>
      <w:pPr>
        <w:spacing w:after="0" w:line="73" w:lineRule="exact"/>
        <w:rPr>
          <w:rFonts w:ascii="Arial" w:cs="Arial" w:eastAsia="Arial" w:hAnsi="Arial"/>
          <w:sz w:val="18"/>
          <w:szCs w:val="18"/>
          <w:color w:val="auto"/>
        </w:rPr>
      </w:pPr>
    </w:p>
    <w:p>
      <w:pPr>
        <w:jc w:val="both"/>
        <w:ind w:left="460" w:firstLine="421"/>
        <w:spacing w:after="0" w:line="259" w:lineRule="auto"/>
        <w:tabs>
          <w:tab w:leader="none" w:pos="1135" w:val="left"/>
        </w:tabs>
        <w:numPr>
          <w:ilvl w:val="2"/>
          <w:numId w:val="136"/>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satisfactory to the Representatives, from Ernst &amp; Young LLP, independent registered public accounting firm, substantially in the same form and substance as the letter furnished to the Underwriters pursuant to Section 5(f)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two business days prior to such Option Closing Date; and</w:t>
      </w:r>
    </w:p>
    <w:p>
      <w:pPr>
        <w:spacing w:after="0" w:line="78" w:lineRule="exact"/>
        <w:rPr>
          <w:rFonts w:ascii="Arial" w:cs="Arial" w:eastAsia="Arial" w:hAnsi="Arial"/>
          <w:sz w:val="18"/>
          <w:szCs w:val="18"/>
          <w:color w:val="auto"/>
        </w:rPr>
      </w:pPr>
    </w:p>
    <w:p>
      <w:pPr>
        <w:ind w:left="460" w:right="320" w:firstLine="421"/>
        <w:spacing w:after="0" w:line="342" w:lineRule="auto"/>
        <w:tabs>
          <w:tab w:leader="none" w:pos="1185" w:val="left"/>
        </w:tabs>
        <w:numPr>
          <w:ilvl w:val="2"/>
          <w:numId w:val="136"/>
        </w:numPr>
        <w:rPr>
          <w:rFonts w:ascii="Arial" w:cs="Arial" w:eastAsia="Arial" w:hAnsi="Arial"/>
          <w:sz w:val="16"/>
          <w:szCs w:val="16"/>
          <w:color w:val="auto"/>
        </w:rPr>
      </w:pPr>
      <w:r>
        <w:rPr>
          <w:rFonts w:ascii="Arial" w:cs="Arial" w:eastAsia="Arial" w:hAnsi="Arial"/>
          <w:sz w:val="16"/>
          <w:szCs w:val="16"/>
          <w:color w:val="auto"/>
        </w:rPr>
        <w:t>such other documents as you may reasonably request with respect to the good standing of the Company, the due authorization and issuance of the Additional Shares to be sold on such Option Closing Date and other matters related to the issuance of such Additional Shares.</w:t>
      </w:r>
    </w:p>
    <w:p>
      <w:pPr>
        <w:spacing w:after="0" w:line="123" w:lineRule="exact"/>
        <w:rPr>
          <w:rFonts w:ascii="Arial" w:cs="Arial" w:eastAsia="Arial" w:hAnsi="Arial"/>
          <w:sz w:val="16"/>
          <w:szCs w:val="16"/>
          <w:color w:val="auto"/>
        </w:rPr>
      </w:pPr>
    </w:p>
    <w:p>
      <w:pPr>
        <w:ind w:left="180" w:hanging="176"/>
        <w:spacing w:after="0"/>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right="60" w:firstLine="443"/>
        <w:spacing w:after="0" w:line="257" w:lineRule="auto"/>
        <w:tabs>
          <w:tab w:leader="none" w:pos="68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To furnish to you, without charge, six signed copies of the Registration Statement (including exhibits thereto) and for delivery to each other Underwriter a conformed copy of the Registration Statement (without exhibits thereto) and to furnish to you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you may reasonably request.</w:t>
      </w:r>
    </w:p>
    <w:p>
      <w:pPr>
        <w:spacing w:after="0" w:line="80" w:lineRule="exact"/>
        <w:rPr>
          <w:rFonts w:ascii="Arial" w:cs="Arial" w:eastAsia="Arial" w:hAnsi="Arial"/>
          <w:sz w:val="18"/>
          <w:szCs w:val="18"/>
          <w:color w:val="auto"/>
        </w:rPr>
      </w:pPr>
    </w:p>
    <w:p>
      <w:pPr>
        <w:ind w:firstLine="443"/>
        <w:spacing w:after="0" w:line="259" w:lineRule="auto"/>
        <w:tabs>
          <w:tab w:leader="none" w:pos="69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19" w:name="page220"/>
    <w:bookmarkEnd w:id="219"/>
    <w:p>
      <w:pPr>
        <w:ind w:right="200" w:firstLine="443"/>
        <w:spacing w:after="0" w:line="277" w:lineRule="auto"/>
        <w:tabs>
          <w:tab w:leader="none" w:pos="683"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furnish to you a copy of each proposed free writing prospectus to be prepared by or on behalf of, used by, or referred to by the Company and not to use or refer to any proposed free writing prospectus to which you reasonably object.</w:t>
      </w:r>
    </w:p>
    <w:p>
      <w:pPr>
        <w:spacing w:after="0" w:line="62" w:lineRule="exact"/>
        <w:rPr>
          <w:rFonts w:ascii="Arial" w:cs="Arial" w:eastAsia="Arial" w:hAnsi="Arial"/>
          <w:sz w:val="18"/>
          <w:szCs w:val="18"/>
          <w:color w:val="auto"/>
        </w:rPr>
      </w:pPr>
    </w:p>
    <w:p>
      <w:pPr>
        <w:ind w:right="240" w:firstLine="443"/>
        <w:spacing w:after="0" w:line="264" w:lineRule="auto"/>
        <w:tabs>
          <w:tab w:leader="none" w:pos="69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firstLine="443"/>
        <w:spacing w:after="0" w:line="270" w:lineRule="auto"/>
        <w:tabs>
          <w:tab w:leader="none" w:pos="68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69" w:lineRule="exact"/>
        <w:rPr>
          <w:rFonts w:ascii="Arial" w:cs="Arial" w:eastAsia="Arial" w:hAnsi="Arial"/>
          <w:sz w:val="17"/>
          <w:szCs w:val="17"/>
          <w:color w:val="auto"/>
        </w:rPr>
      </w:pPr>
    </w:p>
    <w:p>
      <w:pPr>
        <w:ind w:right="40" w:firstLine="443"/>
        <w:spacing w:after="0" w:line="288" w:lineRule="auto"/>
        <w:tabs>
          <w:tab w:leader="none" w:pos="66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74" w:right="259" w:bottom="1440" w:gutter="0" w:footer="0" w:header="0"/>
        </w:sectPr>
      </w:pPr>
    </w:p>
    <w:bookmarkStart w:id="220" w:name="page221"/>
    <w:bookmarkEnd w:id="220"/>
    <w:p>
      <w:pPr>
        <w:jc w:val="both"/>
        <w:ind w:firstLine="443"/>
        <w:spacing w:after="0" w:line="286" w:lineRule="auto"/>
        <w:tabs>
          <w:tab w:leader="none" w:pos="693" w:val="left"/>
        </w:tabs>
        <w:numPr>
          <w:ilvl w:val="0"/>
          <w:numId w:val="1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endeavor to qualify the Shares for offer and sale under the securities or Blue Sky laws of such jurisdictions as you shall reasonably request; provided, however,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spacing w:after="0" w:line="57" w:lineRule="exact"/>
        <w:rPr>
          <w:rFonts w:ascii="Arial" w:cs="Arial" w:eastAsia="Arial" w:hAnsi="Arial"/>
          <w:sz w:val="17"/>
          <w:szCs w:val="17"/>
          <w:color w:val="auto"/>
        </w:rPr>
      </w:pPr>
    </w:p>
    <w:p>
      <w:pPr>
        <w:jc w:val="both"/>
        <w:ind w:right="100" w:firstLine="443"/>
        <w:spacing w:after="0" w:line="286" w:lineRule="auto"/>
        <w:tabs>
          <w:tab w:leader="none" w:pos="69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57" w:lineRule="exact"/>
        <w:rPr>
          <w:rFonts w:ascii="Arial" w:cs="Arial" w:eastAsia="Arial" w:hAnsi="Arial"/>
          <w:sz w:val="17"/>
          <w:szCs w:val="17"/>
          <w:color w:val="auto"/>
        </w:rPr>
      </w:pPr>
    </w:p>
    <w:p>
      <w:pPr>
        <w:ind w:firstLine="443"/>
        <w:spacing w:after="0" w:line="284" w:lineRule="auto"/>
        <w:tabs>
          <w:tab w:leader="none" w:pos="65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reasonable, documented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documented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FINRA (provided, that, the amount payable by the Company with respect to fees and disbursements of counsel for the Underwriters pursuant to subsections (iii) and (iv) shall not exceed $35,000), (v) all fees and expenses in connection with the preparation and filing of the registration statement on Form 8-A relating to the Common Stock and all costs and expenses incident to listing the Shares on the Nasdaq Global Market and other national securities exchanges and foreign stock exchanges,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fifty percent (50%) of the cost of any aircraft chartered in connection with the road show (the remaining fifty percent (50%) of</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221" w:name="page222"/>
    <w:bookmarkEnd w:id="221"/>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cost of such aircraft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6, Section 8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64" w:lineRule="exact"/>
        <w:rPr>
          <w:sz w:val="20"/>
          <w:szCs w:val="20"/>
          <w:color w:val="auto"/>
        </w:rPr>
      </w:pPr>
    </w:p>
    <w:p>
      <w:pPr>
        <w:ind w:left="660" w:hanging="217"/>
        <w:spacing w:after="0"/>
        <w:tabs>
          <w:tab w:leader="none" w:pos="66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To promptly notify the Representatives if the Company ceases to be an Emerging Growth Company at any time prior to the later of</w:t>
      </w:r>
    </w:p>
    <w:p>
      <w:pPr>
        <w:spacing w:after="0" w:line="34" w:lineRule="exact"/>
        <w:rPr>
          <w:rFonts w:ascii="Arial" w:cs="Arial" w:eastAsia="Arial" w:hAnsi="Arial"/>
          <w:sz w:val="17"/>
          <w:szCs w:val="17"/>
          <w:color w:val="auto"/>
        </w:rPr>
      </w:pPr>
    </w:p>
    <w:p>
      <w:pPr>
        <w:ind w:right="140" w:firstLine="4"/>
        <w:spacing w:after="0" w:line="261" w:lineRule="auto"/>
        <w:tabs>
          <w:tab w:leader="none" w:pos="24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completion of the distribution of the Shares within the meaning of the Securities Act and (b) completion of the Restricted Period (as defined in this Section 6).</w:t>
      </w:r>
    </w:p>
    <w:p>
      <w:pPr>
        <w:spacing w:after="0" w:line="75" w:lineRule="exact"/>
        <w:rPr>
          <w:rFonts w:ascii="Arial" w:cs="Arial" w:eastAsia="Arial" w:hAnsi="Arial"/>
          <w:sz w:val="18"/>
          <w:szCs w:val="18"/>
          <w:color w:val="auto"/>
        </w:rPr>
      </w:pPr>
    </w:p>
    <w:p>
      <w:pPr>
        <w:ind w:right="100" w:firstLine="443"/>
        <w:spacing w:after="0" w:line="276" w:lineRule="auto"/>
        <w:tabs>
          <w:tab w:leader="none" w:pos="693" w:val="left"/>
        </w:tabs>
        <w:numPr>
          <w:ilvl w:val="1"/>
          <w:numId w:val="141"/>
        </w:numPr>
        <w:rPr>
          <w:rFonts w:ascii="Arial" w:cs="Arial" w:eastAsia="Arial" w:hAnsi="Arial"/>
          <w:sz w:val="17"/>
          <w:szCs w:val="17"/>
          <w:color w:val="auto"/>
        </w:rPr>
      </w:pPr>
      <w:r>
        <w:rPr>
          <w:rFonts w:ascii="Arial" w:cs="Arial" w:eastAsia="Arial" w:hAnsi="Arial"/>
          <w:sz w:val="17"/>
          <w:szCs w:val="17"/>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w:t>
      </w:r>
    </w:p>
    <w:p>
      <w:pPr>
        <w:spacing w:after="0" w:line="117" w:lineRule="exact"/>
        <w:rPr>
          <w:sz w:val="20"/>
          <w:szCs w:val="20"/>
          <w:color w:val="auto"/>
        </w:rPr>
      </w:pPr>
    </w:p>
    <w:p>
      <w:pPr>
        <w:ind w:left="460" w:right="20" w:firstLine="421"/>
        <w:spacing w:after="0" w:line="271" w:lineRule="auto"/>
        <w:tabs>
          <w:tab w:leader="none" w:pos="109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To not, without the prior written consent of the Representatives on behalf of the Underwriters, during the period ending on and including the 180th day after the date of the Prospectus (the “</w:t>
      </w:r>
      <w:r>
        <w:rPr>
          <w:rFonts w:ascii="Arial" w:cs="Arial" w:eastAsia="Arial" w:hAnsi="Arial"/>
          <w:sz w:val="17"/>
          <w:szCs w:val="17"/>
          <w:b w:val="1"/>
          <w:bCs w:val="1"/>
          <w:color w:val="auto"/>
        </w:rPr>
        <w:t>Restricted Period</w:t>
      </w:r>
      <w:r>
        <w:rPr>
          <w:rFonts w:ascii="Arial" w:cs="Arial" w:eastAsia="Arial" w:hAnsi="Arial"/>
          <w:sz w:val="17"/>
          <w:szCs w:val="17"/>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70" w:lineRule="exact"/>
        <w:rPr>
          <w:rFonts w:ascii="Arial" w:cs="Arial" w:eastAsia="Arial" w:hAnsi="Arial"/>
          <w:sz w:val="17"/>
          <w:szCs w:val="17"/>
          <w:color w:val="auto"/>
        </w:rPr>
      </w:pPr>
    </w:p>
    <w:p>
      <w:pPr>
        <w:ind w:left="460" w:right="20" w:firstLine="421"/>
        <w:spacing w:after="0" w:line="302" w:lineRule="auto"/>
        <w:tabs>
          <w:tab w:leader="none" w:pos="114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The restrictions contained in Section 6(l)(i) shall not apply to (a) the Shares to be sold hereunder, (b) the issuance by the Company of shares of Common Stock upon the exercise of an option or warrant or the conversion of a security outstanding on the date hereof and disclosed in the Time of Sale Prospectus and the Prospectus, or (c) the establishment of a trading plan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plan does not provide for the transfer of Common</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22" w:name="page223"/>
    <w:bookmarkEnd w:id="222"/>
    <w:p>
      <w:pPr>
        <w:ind w:left="460"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 during the Restricted Period and (2)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(d) the issuance by the Company of shares of, or options to purchase shares of, Common Stock or restricted stock units to employees, officers, directors, advisors or consultants of the Company pursuant to employee benefit plans described in the Time of Sale Prospectus and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the issuance of any such shares or the grant of any such options or restricted stock units, the Company shall cause each recipient of such grant or issuance to execute and deliver a lock-up agreement, substantially in the form of Exhibit A hereto, (e) the filing by the Company of registration statements on Form S-8 with respect to the employee benefit plans described in the Time of Sale Prospectus and Prospectus; or (f) the sale or issuance of or entry into an agreement to sell or issue shares of Common Stock in connection with the Company’s acquisition of one or more businesses, products or technologies (whether by means of merger, stock purchase, asset purchase or otherwise) or in connection with joint ventures, commercial relationships or other strategic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number of shares of Common Stock that the Company may sell or issue or agree to sell or issue pursuant to this clause (f) shall not exceed 5% of the total number of shares of Common Stock issued and outstanding immediately following the completion of the transactions contemplated by this Agreement;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Company shall cause each recipient of such shares to execute and deliver to you, on or prior to such issuance, a lock-up agreement, substantially in the form of Exhibit</w:t>
      </w:r>
    </w:p>
    <w:p>
      <w:pPr>
        <w:spacing w:after="0" w:line="2" w:lineRule="exact"/>
        <w:rPr>
          <w:sz w:val="20"/>
          <w:szCs w:val="20"/>
          <w:color w:val="auto"/>
        </w:rPr>
      </w:pPr>
    </w:p>
    <w:p>
      <w:pPr>
        <w:ind w:left="640" w:hanging="179"/>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hereto.</w:t>
      </w:r>
    </w:p>
    <w:p>
      <w:pPr>
        <w:spacing w:after="0" w:line="102" w:lineRule="exact"/>
        <w:rPr>
          <w:rFonts w:ascii="Arial" w:cs="Arial" w:eastAsia="Arial" w:hAnsi="Arial"/>
          <w:sz w:val="18"/>
          <w:szCs w:val="18"/>
          <w:color w:val="auto"/>
        </w:rPr>
      </w:pPr>
    </w:p>
    <w:p>
      <w:pPr>
        <w:ind w:left="460" w:right="60" w:firstLine="421"/>
        <w:spacing w:after="0" w:line="257" w:lineRule="auto"/>
        <w:tabs>
          <w:tab w:leader="none" w:pos="119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If the Representatives, in their sole discretion, agree to release or waive the restrictions set forth in a lock-up letter described in Section 5(g)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through a major news service at least two business days before the effective date of the release or waiver.</w:t>
      </w:r>
    </w:p>
    <w:p>
      <w:pPr>
        <w:spacing w:after="0" w:line="80" w:lineRule="exact"/>
        <w:rPr>
          <w:sz w:val="20"/>
          <w:szCs w:val="20"/>
          <w:color w:val="auto"/>
        </w:rPr>
      </w:pPr>
    </w:p>
    <w:p>
      <w:pPr>
        <w:ind w:firstLine="443"/>
        <w:spacing w:after="0" w:line="255" w:lineRule="auto"/>
        <w:tabs>
          <w:tab w:leader="none" w:pos="74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enforce the terms of all existing agreements, plans and arrangements restricting the transfer by any holder of such holder’s Common Stock or other securities convertible into or exercisable or exchangeable for Common Stock (the “</w:t>
      </w:r>
      <w:r>
        <w:rPr>
          <w:rFonts w:ascii="Arial" w:cs="Arial" w:eastAsia="Arial" w:hAnsi="Arial"/>
          <w:sz w:val="18"/>
          <w:szCs w:val="18"/>
          <w:b w:val="1"/>
          <w:bCs w:val="1"/>
          <w:color w:val="auto"/>
        </w:rPr>
        <w:t>Securities</w:t>
      </w:r>
      <w:r>
        <w:rPr>
          <w:rFonts w:ascii="Arial" w:cs="Arial" w:eastAsia="Arial" w:hAnsi="Arial"/>
          <w:sz w:val="18"/>
          <w:szCs w:val="18"/>
          <w:color w:val="auto"/>
        </w:rPr>
        <w:t>”) following the public offering and sale of the Shares contemplated hereby, including, without limitation, Section 2.11 of the Amended and Restated Investor Rights Agreement, dated October 17, 2017, by and between the Company and the investors party thereto, Section 5.1 of the Amended and Restated Right of First Refusal and Co-Sale Agreement, dated October 17, 2017, by and among the Company, the investors and key holders party thereto, Section 9(d) of the Option Agreement under the Company’s 2015 Equity Incentive Plan, Section 4 of Exhibit A of each of the Common Stock Purchase Agreements by and between the Company and the purchaser party thereto dated</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4" w:right="239" w:bottom="1440" w:gutter="0" w:footer="0" w:header="0"/>
        </w:sectPr>
      </w:pPr>
    </w:p>
    <w:bookmarkStart w:id="223" w:name="page224"/>
    <w:bookmarkEnd w:id="223"/>
    <w:p>
      <w:pPr>
        <w:ind w:lef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20, 2015, May 28, 2015, June 1, 2015 or June 8, 2015, Section 5 of the Common Stock Purchase Agreement by and between the Company and the subscriber party thereto dated November 8, 2016, and all other “market standoff,” “holdback” or similar agreements or provisions, applicable to the Common Stock or other Securities (the “</w:t>
      </w:r>
      <w:r>
        <w:rPr>
          <w:rFonts w:ascii="Arial" w:cs="Arial" w:eastAsia="Arial" w:hAnsi="Arial"/>
          <w:sz w:val="16"/>
          <w:szCs w:val="16"/>
          <w:b w:val="1"/>
          <w:bCs w:val="1"/>
          <w:color w:val="auto"/>
        </w:rPr>
        <w:t>Company Transfer Restrictions</w:t>
      </w:r>
      <w:r>
        <w:rPr>
          <w:rFonts w:ascii="Arial" w:cs="Arial" w:eastAsia="Arial" w:hAnsi="Arial"/>
          <w:sz w:val="16"/>
          <w:szCs w:val="16"/>
          <w:color w:val="auto"/>
        </w:rPr>
        <w:t xml:space="preserve">”), the Company shall issue stop-transfer instructions to the transfer agent with respect to any transaction that would constitute a breach of, or default under, the Company Transfer Restrictions. During the Restricted Period, the Company shall enforce and not waive or amend, such Company Transfer Restrictions and stop transfer instructions unless the Company shall have obtained the prior written consent of the Representatives;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6(m) shall not prohibit the Company from effecting a waiver or amendment to permit a transfer of Securities which is permissible under the terms of the lock-up letter described in Section 5(g) hereof.</w:t>
      </w:r>
    </w:p>
    <w:p>
      <w:pPr>
        <w:spacing w:after="0" w:line="59" w:lineRule="exact"/>
        <w:rPr>
          <w:sz w:val="20"/>
          <w:szCs w:val="20"/>
          <w:color w:val="auto"/>
        </w:rPr>
      </w:pPr>
    </w:p>
    <w:p>
      <w:pPr>
        <w:ind w:left="440" w:right="140" w:firstLine="443"/>
        <w:spacing w:after="0" w:line="259" w:lineRule="auto"/>
        <w:tabs>
          <w:tab w:leader="none" w:pos="113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in a form reasonably acceptable to the Underwriters,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6" w:lineRule="exact"/>
        <w:rPr>
          <w:rFonts w:ascii="Arial" w:cs="Arial" w:eastAsia="Arial" w:hAnsi="Arial"/>
          <w:sz w:val="18"/>
          <w:szCs w:val="18"/>
          <w:color w:val="auto"/>
        </w:rPr>
      </w:pPr>
    </w:p>
    <w:p>
      <w:pPr>
        <w:jc w:val="both"/>
        <w:ind w:left="-20" w:right="260" w:firstLine="464"/>
        <w:spacing w:after="0" w:line="264" w:lineRule="auto"/>
        <w:tabs>
          <w:tab w:leader="none" w:pos="616"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Covenants of the Underwriters</w:t>
      </w:r>
      <w:r>
        <w:rPr>
          <w:rFonts w:ascii="Arial" w:cs="Arial" w:eastAsia="Arial" w:hAnsi="Arial"/>
          <w:sz w:val="18"/>
          <w:szCs w:val="18"/>
          <w:color w:val="auto"/>
        </w:rPr>
        <w:t>. Each Underwriter severally covenants with the Company not to take any action that would result in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81" w:lineRule="exact"/>
        <w:rPr>
          <w:rFonts w:ascii="Arial" w:cs="Arial" w:eastAsia="Arial" w:hAnsi="Arial"/>
          <w:sz w:val="18"/>
          <w:szCs w:val="18"/>
          <w:color w:val="auto"/>
        </w:rPr>
      </w:pPr>
    </w:p>
    <w:p>
      <w:pPr>
        <w:ind w:left="-20" w:right="40" w:firstLine="464"/>
        <w:spacing w:after="0" w:line="269" w:lineRule="auto"/>
        <w:tabs>
          <w:tab w:leader="none" w:pos="616"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 xml:space="preserve">Indemnity and Contribution. </w:t>
      </w:r>
      <w:r>
        <w:rPr>
          <w:rFonts w:ascii="Arial" w:cs="Arial" w:eastAsia="Arial" w:hAnsi="Arial"/>
          <w:sz w:val="17"/>
          <w:szCs w:val="17"/>
          <w:color w:val="auto"/>
        </w:rPr>
        <w:t>(a) The Company agrees to indemnify and hold harmless each Underwriter, the directors, officers, employees and</w:t>
      </w:r>
      <w:r>
        <w:rPr>
          <w:rFonts w:ascii="Arial" w:cs="Arial" w:eastAsia="Arial" w:hAnsi="Arial"/>
          <w:sz w:val="17"/>
          <w:szCs w:val="17"/>
          <w:i w:val="1"/>
          <w:iCs w:val="1"/>
          <w:color w:val="auto"/>
        </w:rPr>
        <w:t xml:space="preserve"> </w:t>
      </w:r>
      <w:r>
        <w:rPr>
          <w:rFonts w:ascii="Arial" w:cs="Arial" w:eastAsia="Arial" w:hAnsi="Arial"/>
          <w:sz w:val="17"/>
          <w:szCs w:val="17"/>
          <w:color w:val="auto"/>
        </w:rPr>
        <w:t>agents of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or the Prospectus or any amendment or supplement thereto, or any Written Testing-the-Waters Communication,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224" w:name="page225"/>
    <w:bookmarkEnd w:id="224"/>
    <w:p>
      <w:pPr>
        <w:ind w:right="40" w:firstLine="443"/>
        <w:spacing w:after="0" w:line="255" w:lineRule="auto"/>
        <w:tabs>
          <w:tab w:leader="none" w:pos="693"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you expressly for use in the Registration Statement, any preliminary prospectus, the Time of Sale Prospectus, any issuer free writing prospectus, road show, the Prospectus or any amendment or supplement thereto.</w:t>
      </w:r>
    </w:p>
    <w:p>
      <w:pPr>
        <w:spacing w:after="0" w:line="85" w:lineRule="exact"/>
        <w:rPr>
          <w:rFonts w:ascii="Arial" w:cs="Arial" w:eastAsia="Arial" w:hAnsi="Arial"/>
          <w:sz w:val="18"/>
          <w:szCs w:val="18"/>
          <w:color w:val="auto"/>
        </w:rPr>
      </w:pPr>
    </w:p>
    <w:p>
      <w:pPr>
        <w:ind w:firstLine="443"/>
        <w:spacing w:after="0" w:line="284" w:lineRule="auto"/>
        <w:tabs>
          <w:tab w:leader="none" w:pos="68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w:t>
      </w:r>
    </w:p>
    <w:p>
      <w:pPr>
        <w:spacing w:after="0" w:line="3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4" w:right="259" w:bottom="1440" w:gutter="0" w:footer="0" w:header="0"/>
        </w:sectPr>
      </w:pPr>
    </w:p>
    <w:bookmarkStart w:id="225" w:name="page226"/>
    <w:bookmarkEnd w:id="225"/>
    <w:p>
      <w:pPr>
        <w:ind w:right="3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w:t>
      </w:r>
    </w:p>
    <w:p>
      <w:pPr>
        <w:ind w:right="160" w:firstLine="4"/>
        <w:spacing w:after="0" w:line="290" w:lineRule="auto"/>
        <w:tabs>
          <w:tab w:leader="none" w:pos="2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includes an unconditional release of such indemnified party from all liability on claims that are the subject matter of such proceeding and (y) does not include a statement as to or an admission of fault, culpability or a failure to act, by or on behalf of any indemnified party.</w:t>
      </w:r>
    </w:p>
    <w:p>
      <w:pPr>
        <w:spacing w:after="0" w:line="53" w:lineRule="exact"/>
        <w:rPr>
          <w:rFonts w:ascii="Arial" w:cs="Arial" w:eastAsia="Arial" w:hAnsi="Arial"/>
          <w:sz w:val="17"/>
          <w:szCs w:val="17"/>
          <w:color w:val="auto"/>
        </w:rPr>
      </w:pPr>
    </w:p>
    <w:p>
      <w:pPr>
        <w:ind w:firstLine="443"/>
        <w:spacing w:after="0" w:line="268" w:lineRule="auto"/>
        <w:tabs>
          <w:tab w:leader="none" w:pos="693"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72" w:lineRule="exact"/>
        <w:rPr>
          <w:rFonts w:ascii="Arial" w:cs="Arial" w:eastAsia="Arial" w:hAnsi="Arial"/>
          <w:sz w:val="17"/>
          <w:szCs w:val="17"/>
          <w:color w:val="auto"/>
        </w:rPr>
      </w:pPr>
    </w:p>
    <w:p>
      <w:pPr>
        <w:ind w:right="20" w:firstLine="443"/>
        <w:spacing w:after="0" w:line="272" w:lineRule="auto"/>
        <w:tabs>
          <w:tab w:leader="none" w:pos="683" w:val="left"/>
        </w:tabs>
        <w:numPr>
          <w:ilvl w:val="1"/>
          <w:numId w:val="148"/>
        </w:numPr>
        <w:rPr>
          <w:rFonts w:ascii="Arial" w:cs="Arial" w:eastAsia="Arial" w:hAnsi="Arial"/>
          <w:sz w:val="17"/>
          <w:szCs w:val="17"/>
          <w:color w:val="auto"/>
        </w:rPr>
      </w:pPr>
      <w:r>
        <w:rPr>
          <w:rFonts w:ascii="Arial" w:cs="Arial" w:eastAsia="Arial" w:hAnsi="Arial"/>
          <w:sz w:val="17"/>
          <w:szCs w:val="17"/>
          <w:color w:val="auto"/>
        </w:rPr>
        <w:t xml:space="preserve">The Company and the Underwriters agree that it would not be just or equitable if contribution pursuant to this Section 8 were determined by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allocation (even if the Underwriters were treated as one entity for such purpose) or by any other method of allocation that does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74" w:right="259" w:bottom="1440" w:gutter="0" w:footer="0" w:header="0"/>
        </w:sectPr>
      </w:pPr>
    </w:p>
    <w:bookmarkStart w:id="226" w:name="page227"/>
    <w:bookmarkEnd w:id="226"/>
    <w:p>
      <w:pPr>
        <w:ind w:left="4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46" w:lineRule="exact"/>
        <w:rPr>
          <w:sz w:val="20"/>
          <w:szCs w:val="20"/>
          <w:color w:val="auto"/>
        </w:rPr>
      </w:pPr>
    </w:p>
    <w:p>
      <w:pPr>
        <w:ind w:left="460" w:right="120" w:firstLine="443"/>
        <w:spacing w:after="0" w:line="286" w:lineRule="auto"/>
        <w:tabs>
          <w:tab w:leader="none" w:pos="112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the directors, officers, employees and agents of each Underwriter, any person controlling any Underwriter or any affiliate of any Underwriter or by or on behalf of the Company, its officers or directors or any person controlling the Company and</w:t>
      </w:r>
    </w:p>
    <w:p>
      <w:pPr>
        <w:spacing w:after="0" w:line="1" w:lineRule="exact"/>
        <w:rPr>
          <w:rFonts w:ascii="Arial" w:cs="Arial" w:eastAsia="Arial" w:hAnsi="Arial"/>
          <w:sz w:val="16"/>
          <w:szCs w:val="16"/>
          <w:color w:val="auto"/>
        </w:rPr>
      </w:pPr>
    </w:p>
    <w:p>
      <w:pPr>
        <w:ind w:left="780" w:hanging="316"/>
        <w:spacing w:after="0"/>
        <w:tabs>
          <w:tab w:leader="none" w:pos="7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acceptance of and payment for any of the Shares.</w:t>
      </w:r>
    </w:p>
    <w:p>
      <w:pPr>
        <w:spacing w:after="0" w:line="211" w:lineRule="exact"/>
        <w:rPr>
          <w:sz w:val="20"/>
          <w:szCs w:val="20"/>
          <w:color w:val="auto"/>
        </w:rPr>
      </w:pPr>
    </w:p>
    <w:p>
      <w:pPr>
        <w:ind w:firstLine="464"/>
        <w:spacing w:after="0" w:line="289" w:lineRule="auto"/>
        <w:tabs>
          <w:tab w:leader="none" w:pos="636"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you to the Company, if after the execution and delivery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prior to the Closing Date (i) trading generally shall have been suspended or materially limited on, or by, as the case may be, any of the New York Stock Exchange, the NYSE MKT, the NASDAQ Global Market, the Chicago Board of Options Exchange, the Chicago Mercantile Exchange or the Chicago Board of Trade or other relevant exchanges, (ii) trading of any securities of the Company shall have been suspended on any exchange or in any over-the-counter market, (iii) a material disruption in securities settlement, payment or clearance services in the United States or other relevant jurisdictions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w:t>
      </w:r>
    </w:p>
    <w:p>
      <w:pPr>
        <w:spacing w:after="0" w:line="166" w:lineRule="exact"/>
        <w:rPr>
          <w:rFonts w:ascii="Arial" w:cs="Arial" w:eastAsia="Arial" w:hAnsi="Arial"/>
          <w:sz w:val="16"/>
          <w:szCs w:val="16"/>
          <w:color w:val="auto"/>
        </w:rPr>
      </w:pPr>
    </w:p>
    <w:p>
      <w:pPr>
        <w:ind w:left="740" w:hanging="276"/>
        <w:spacing w:after="0"/>
        <w:tabs>
          <w:tab w:leader="none" w:pos="740" w:val="left"/>
        </w:tabs>
        <w:numPr>
          <w:ilvl w:val="0"/>
          <w:numId w:val="151"/>
        </w:numPr>
        <w:rPr>
          <w:rFonts w:ascii="Arial" w:cs="Arial" w:eastAsia="Arial" w:hAnsi="Arial"/>
          <w:sz w:val="17"/>
          <w:szCs w:val="17"/>
          <w:color w:val="auto"/>
        </w:rPr>
      </w:pPr>
      <w:r>
        <w:rPr>
          <w:rFonts w:ascii="Arial" w:cs="Arial" w:eastAsia="Arial" w:hAnsi="Arial"/>
          <w:sz w:val="17"/>
          <w:szCs w:val="17"/>
          <w:i w:val="1"/>
          <w:iCs w:val="1"/>
          <w:color w:val="auto"/>
        </w:rPr>
        <w:t>Effectiveness; Defaulting Underwriters</w:t>
      </w:r>
      <w:r>
        <w:rPr>
          <w:rFonts w:ascii="Arial" w:cs="Arial" w:eastAsia="Arial" w:hAnsi="Arial"/>
          <w:sz w:val="17"/>
          <w:szCs w:val="17"/>
          <w:color w:val="auto"/>
        </w:rPr>
        <w:t>. This Agreement shall become effective upon the execution and delivery hereof by the parties hereto.</w:t>
      </w:r>
    </w:p>
    <w:p>
      <w:pPr>
        <w:spacing w:after="0" w:line="2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27" w:name="page228"/>
    <w:bookmarkEnd w:id="22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you and the Company for the purchase of such Firm Shares are not made within 36 hours after such default, this Agreement shall terminate without liability on the part of any non-defaulting Underwriter or the Company. In any such case either you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6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88" w:lineRule="exact"/>
        <w:rPr>
          <w:sz w:val="20"/>
          <w:szCs w:val="20"/>
          <w:color w:val="auto"/>
        </w:rPr>
      </w:pPr>
    </w:p>
    <w:p>
      <w:pPr>
        <w:ind w:firstLine="464"/>
        <w:spacing w:after="0" w:line="259" w:lineRule="auto"/>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 extent not</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78" w:lineRule="exact"/>
        <w:rPr>
          <w:rFonts w:ascii="Arial" w:cs="Arial" w:eastAsia="Arial" w:hAnsi="Arial"/>
          <w:sz w:val="18"/>
          <w:szCs w:val="18"/>
          <w:color w:val="auto"/>
        </w:rPr>
      </w:pPr>
    </w:p>
    <w:p>
      <w:pPr>
        <w:ind w:left="460" w:right="40" w:firstLine="443"/>
        <w:spacing w:after="0" w:line="276" w:lineRule="auto"/>
        <w:tabs>
          <w:tab w:leader="none" w:pos="1153"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28" w:name="page229"/>
    <w:bookmarkEnd w:id="228"/>
    <w:p>
      <w:pPr>
        <w:ind w:left="-60" w:right="600" w:firstLine="464"/>
        <w:spacing w:after="0" w:line="277" w:lineRule="auto"/>
        <w:tabs>
          <w:tab w:leader="none" w:pos="666"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60" w:right="80" w:firstLine="464"/>
        <w:spacing w:after="0" w:line="290" w:lineRule="auto"/>
        <w:tabs>
          <w:tab w:leader="none" w:pos="666"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Applicable Law</w:t>
      </w:r>
      <w:r>
        <w:rPr>
          <w:rFonts w:ascii="Arial" w:cs="Arial" w:eastAsia="Arial" w:hAnsi="Arial"/>
          <w:sz w:val="16"/>
          <w:szCs w:val="16"/>
          <w:color w:val="auto"/>
        </w:rPr>
        <w:t>. This Agreement and any claim, controversy or dispute arising under or related to this Agreement shall be governed by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construed in accordance with the internal laws of the State of New York. The Company irrevocably submits to the non-exclusive jurisdiction of any New York State or United States Federal court sitting in The City of New York over any suit, action or proceeding arising out of or relating to this Agreement, the Prospectus, the Registration Statement or the offering of the Shares (each, a “</w:t>
      </w:r>
      <w:r>
        <w:rPr>
          <w:rFonts w:ascii="Arial" w:cs="Arial" w:eastAsia="Arial" w:hAnsi="Arial"/>
          <w:sz w:val="16"/>
          <w:szCs w:val="16"/>
          <w:b w:val="1"/>
          <w:bCs w:val="1"/>
          <w:color w:val="auto"/>
        </w:rPr>
        <w:t>Related Proceeding</w:t>
      </w:r>
      <w:r>
        <w:rPr>
          <w:rFonts w:ascii="Arial" w:cs="Arial" w:eastAsia="Arial" w:hAnsi="Arial"/>
          <w:sz w:val="16"/>
          <w:szCs w:val="16"/>
          <w:color w:val="auto"/>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166" w:lineRule="exact"/>
        <w:rPr>
          <w:rFonts w:ascii="Arial" w:cs="Arial" w:eastAsia="Arial" w:hAnsi="Arial"/>
          <w:sz w:val="16"/>
          <w:szCs w:val="16"/>
          <w:color w:val="auto"/>
        </w:rPr>
      </w:pPr>
    </w:p>
    <w:p>
      <w:pPr>
        <w:ind w:left="-60" w:right="160" w:firstLine="464"/>
        <w:spacing w:after="0" w:line="277" w:lineRule="auto"/>
        <w:tabs>
          <w:tab w:leader="none" w:pos="666"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70" w:lineRule="exact"/>
        <w:rPr>
          <w:rFonts w:ascii="Arial" w:cs="Arial" w:eastAsia="Arial" w:hAnsi="Arial"/>
          <w:sz w:val="18"/>
          <w:szCs w:val="18"/>
          <w:color w:val="auto"/>
        </w:rPr>
      </w:pPr>
    </w:p>
    <w:p>
      <w:pPr>
        <w:ind w:left="-60" w:firstLine="464"/>
        <w:spacing w:after="0" w:line="257" w:lineRule="auto"/>
        <w:tabs>
          <w:tab w:leader="none" w:pos="666"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shall be in writing and effective only upon receipt and if to the Underwriters shall be delivered, mailed or</w:t>
      </w:r>
      <w:r>
        <w:rPr>
          <w:rFonts w:ascii="Arial" w:cs="Arial" w:eastAsia="Arial" w:hAnsi="Arial"/>
          <w:sz w:val="18"/>
          <w:szCs w:val="18"/>
          <w:i w:val="1"/>
          <w:iCs w:val="1"/>
          <w:color w:val="auto"/>
        </w:rPr>
        <w:t xml:space="preserve"> </w:t>
      </w:r>
      <w:r>
        <w:rPr>
          <w:rFonts w:ascii="Arial" w:cs="Arial" w:eastAsia="Arial" w:hAnsi="Arial"/>
          <w:sz w:val="18"/>
          <w:szCs w:val="18"/>
          <w:color w:val="auto"/>
        </w:rPr>
        <w:t>sent to you in care of Morgan Stanley &amp; Co. LLC, 1585 Broadway, New York, New York 10036, Attention: Equity Syndicate Desk, with a copy to the Legal Department, and Credit Suisse Securities (USA) LLC, 11 Madison Avenue, New York, New York 10010-3629, Facsimile: (212) 325-4296, Attention: IBCM-Legal; and if to the Company shall be delivered, mailed or sent to Forty Seven, Inc., 1490 O’Brien Drive, Suite A, Menlo Park, CA 94025, Attention Chief Financial Officer.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300" w:top="274" w:right="299" w:bottom="1440" w:gutter="0" w:footer="0" w:header="0"/>
        </w:sectPr>
      </w:pPr>
    </w:p>
    <w:bookmarkStart w:id="229" w:name="page230"/>
    <w:bookmarkEnd w:id="22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FORTY SEVEN,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-130810</wp:posOffset>
            </wp:positionV>
            <wp:extent cx="26416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26670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26670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20" w:type="dxa"/>
            <w:vAlign w:val="bottom"/>
            <w:gridSpan w:val="2"/>
          </w:tcPr>
          <w:p>
            <w:pPr>
              <w:ind w:left="920"/>
              <w:spacing w:after="0"/>
              <w:rPr>
                <w:sz w:val="20"/>
                <w:szCs w:val="20"/>
                <w:color w:val="auto"/>
              </w:rPr>
            </w:pPr>
            <w:r>
              <w:rPr>
                <w:rFonts w:ascii="Arial" w:cs="Arial" w:eastAsia="Arial" w:hAnsi="Arial"/>
                <w:sz w:val="18"/>
                <w:szCs w:val="18"/>
                <w:b w:val="1"/>
                <w:bCs w:val="1"/>
                <w:color w:val="auto"/>
                <w:w w:val="99"/>
              </w:rPr>
              <w:t>SCHEDULE I</w:t>
            </w:r>
          </w:p>
        </w:tc>
        <w:tc>
          <w:tcPr>
            <w:tcW w:w="0" w:type="dxa"/>
            <w:vAlign w:val="bottom"/>
          </w:tcPr>
          <w:p>
            <w:pPr>
              <w:spacing w:after="0"/>
              <w:rPr>
                <w:sz w:val="1"/>
                <w:szCs w:val="1"/>
                <w:color w:val="auto"/>
              </w:rPr>
            </w:pPr>
          </w:p>
        </w:tc>
      </w:tr>
      <w:tr>
        <w:trPr>
          <w:trHeight w:val="36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28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Number of Firm Shares To Be</w:t>
            </w: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5280" w:type="dxa"/>
            <w:vAlign w:val="bottom"/>
          </w:tcPr>
          <w:p>
            <w:pPr>
              <w:spacing w:after="0"/>
              <w:rPr>
                <w:sz w:val="14"/>
                <w:szCs w:val="14"/>
                <w:color w:val="auto"/>
              </w:rPr>
            </w:pPr>
          </w:p>
        </w:tc>
        <w:tc>
          <w:tcPr>
            <w:tcW w:w="2020" w:type="dxa"/>
            <w:vAlign w:val="bottom"/>
            <w:gridSpan w:val="2"/>
          </w:tcPr>
          <w:p>
            <w:pPr>
              <w:ind w:left="600"/>
              <w:spacing w:after="0"/>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5280" w:type="dxa"/>
            <w:vAlign w:val="bottom"/>
          </w:tcPr>
          <w:p>
            <w:pPr>
              <w:spacing w:after="0"/>
              <w:rPr>
                <w:sz w:val="19"/>
                <w:szCs w:val="19"/>
                <w:color w:val="auto"/>
              </w:rPr>
            </w:pPr>
          </w:p>
        </w:tc>
        <w:tc>
          <w:tcPr>
            <w:tcW w:w="202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120" w:type="dxa"/>
            <w:vAlign w:val="bottom"/>
            <w:gridSpan w:val="3"/>
          </w:tcPr>
          <w:p>
            <w:pPr>
              <w:spacing w:after="0"/>
              <w:rPr>
                <w:sz w:val="20"/>
                <w:szCs w:val="20"/>
                <w:color w:val="auto"/>
              </w:rPr>
            </w:pPr>
            <w:r>
              <w:rPr>
                <w:rFonts w:ascii="Arial" w:cs="Arial" w:eastAsia="Arial" w:hAnsi="Arial"/>
                <w:sz w:val="18"/>
                <w:szCs w:val="18"/>
                <w:color w:val="auto"/>
              </w:rPr>
              <w:t>Credit Suisse Securities (USA) LLC</w:t>
            </w:r>
          </w:p>
        </w:tc>
        <w:tc>
          <w:tcPr>
            <w:tcW w:w="5280" w:type="dxa"/>
            <w:vAlign w:val="bottom"/>
          </w:tcPr>
          <w:p>
            <w:pPr>
              <w:spacing w:after="0"/>
              <w:rPr>
                <w:sz w:val="23"/>
                <w:szCs w:val="23"/>
                <w:color w:val="auto"/>
              </w:rPr>
            </w:pPr>
          </w:p>
        </w:tc>
        <w:tc>
          <w:tcPr>
            <w:tcW w:w="202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120" w:type="dxa"/>
            <w:vAlign w:val="bottom"/>
            <w:gridSpan w:val="3"/>
          </w:tcPr>
          <w:p>
            <w:pPr>
              <w:spacing w:after="0"/>
              <w:rPr>
                <w:sz w:val="20"/>
                <w:szCs w:val="20"/>
                <w:color w:val="auto"/>
              </w:rPr>
            </w:pPr>
            <w:r>
              <w:rPr>
                <w:rFonts w:ascii="Arial" w:cs="Arial" w:eastAsia="Arial" w:hAnsi="Arial"/>
                <w:sz w:val="18"/>
                <w:szCs w:val="18"/>
                <w:color w:val="auto"/>
              </w:rPr>
              <w:t>Canaccord Genuity Inc.</w:t>
            </w:r>
          </w:p>
        </w:tc>
        <w:tc>
          <w:tcPr>
            <w:tcW w:w="5280" w:type="dxa"/>
            <w:vAlign w:val="bottom"/>
          </w:tcPr>
          <w:p>
            <w:pPr>
              <w:spacing w:after="0"/>
              <w:rPr>
                <w:sz w:val="24"/>
                <w:szCs w:val="24"/>
                <w:color w:val="auto"/>
              </w:rPr>
            </w:pPr>
          </w:p>
        </w:tc>
        <w:tc>
          <w:tcPr>
            <w:tcW w:w="202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120" w:type="dxa"/>
            <w:vAlign w:val="bottom"/>
            <w:gridSpan w:val="3"/>
          </w:tcPr>
          <w:p>
            <w:pPr>
              <w:spacing w:after="0"/>
              <w:rPr>
                <w:sz w:val="20"/>
                <w:szCs w:val="20"/>
                <w:color w:val="auto"/>
              </w:rPr>
            </w:pPr>
            <w:r>
              <w:rPr>
                <w:rFonts w:ascii="Arial" w:cs="Arial" w:eastAsia="Arial" w:hAnsi="Arial"/>
                <w:sz w:val="18"/>
                <w:szCs w:val="18"/>
                <w:color w:val="auto"/>
              </w:rPr>
              <w:t>BTIG, LLC</w:t>
            </w:r>
          </w:p>
        </w:tc>
        <w:tc>
          <w:tcPr>
            <w:tcW w:w="5280" w:type="dxa"/>
            <w:vAlign w:val="bottom"/>
          </w:tcPr>
          <w:p>
            <w:pPr>
              <w:spacing w:after="0"/>
              <w:rPr>
                <w:sz w:val="24"/>
                <w:szCs w:val="24"/>
                <w:color w:val="auto"/>
              </w:rPr>
            </w:pPr>
          </w:p>
        </w:tc>
        <w:tc>
          <w:tcPr>
            <w:tcW w:w="202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120" w:type="dxa"/>
            <w:vAlign w:val="bottom"/>
            <w:gridSpan w:val="3"/>
          </w:tcPr>
          <w:p>
            <w:pPr>
              <w:spacing w:after="0"/>
              <w:rPr>
                <w:sz w:val="20"/>
                <w:szCs w:val="20"/>
                <w:color w:val="auto"/>
              </w:rPr>
            </w:pPr>
            <w:r>
              <w:rPr>
                <w:rFonts w:ascii="Arial" w:cs="Arial" w:eastAsia="Arial" w:hAnsi="Arial"/>
                <w:sz w:val="18"/>
                <w:szCs w:val="18"/>
                <w:color w:val="auto"/>
              </w:rPr>
              <w:t>Oppenheimer &amp; Co. Inc.</w:t>
            </w:r>
          </w:p>
        </w:tc>
        <w:tc>
          <w:tcPr>
            <w:tcW w:w="5280" w:type="dxa"/>
            <w:vAlign w:val="bottom"/>
          </w:tcPr>
          <w:p>
            <w:pPr>
              <w:spacing w:after="0"/>
              <w:rPr>
                <w:sz w:val="24"/>
                <w:szCs w:val="24"/>
                <w:color w:val="auto"/>
              </w:rPr>
            </w:pPr>
          </w:p>
        </w:tc>
        <w:tc>
          <w:tcPr>
            <w:tcW w:w="202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340" w:type="dxa"/>
            <w:vAlign w:val="bottom"/>
          </w:tcPr>
          <w:p>
            <w:pPr>
              <w:spacing w:after="0"/>
              <w:rPr>
                <w:sz w:val="5"/>
                <w:szCs w:val="5"/>
                <w:color w:val="auto"/>
              </w:rPr>
            </w:pPr>
          </w:p>
        </w:tc>
        <w:tc>
          <w:tcPr>
            <w:tcW w:w="5280" w:type="dxa"/>
            <w:vAlign w:val="bottom"/>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5280" w:type="dxa"/>
            <w:vAlign w:val="bottom"/>
          </w:tcPr>
          <w:p>
            <w:pPr>
              <w:spacing w:after="0"/>
              <w:rPr>
                <w:sz w:val="24"/>
                <w:szCs w:val="24"/>
                <w:color w:val="auto"/>
              </w:rPr>
            </w:pPr>
          </w:p>
        </w:tc>
        <w:tc>
          <w:tcPr>
            <w:tcW w:w="202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300" w:type="dxa"/>
            <w:vAlign w:val="bottom"/>
            <w:gridSpan w:val="3"/>
          </w:tcPr>
          <w:p>
            <w:pPr>
              <w:ind w:left="148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580" w:hanging="572"/>
        <w:spacing w:after="0"/>
        <w:tabs>
          <w:tab w:leader="none" w:pos="5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Preliminary prospectus issued [date]</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Pricing information:</w:t>
      </w:r>
    </w:p>
    <w:p>
      <w:pPr>
        <w:sectPr>
          <w:pgSz w:w="11900" w:h="16838" w:orient="portrait"/>
          <w:cols w:equalWidth="0" w:num="1">
            <w:col w:w="11420"/>
          </w:cols>
          <w:pgMar w:left="240" w:top="270" w:right="239" w:bottom="1440" w:gutter="0" w:footer="0" w:header="0"/>
        </w:sectPr>
      </w:pP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Firm Shares: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50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460" w:space="720"/>
            <w:col w:w="5240"/>
          </w:cols>
          <w:pgMar w:left="240" w:top="270"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Additional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460" w:space="720"/>
            <w:col w:w="5240"/>
          </w:cols>
          <w:pgMar w:left="240" w:top="270"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Public Offering Price:</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6"/>
          <w:szCs w:val="16"/>
          <w:color w:val="auto"/>
        </w:rPr>
        <w:t>$[•] per share</w:t>
      </w:r>
    </w:p>
    <w:p>
      <w:pPr>
        <w:spacing w:after="0" w:line="180" w:lineRule="exact"/>
        <w:rPr>
          <w:sz w:val="20"/>
          <w:szCs w:val="20"/>
          <w:color w:val="auto"/>
        </w:rPr>
      </w:pPr>
    </w:p>
    <w:p>
      <w:pPr>
        <w:sectPr>
          <w:pgSz w:w="11900" w:h="16838" w:orient="portrait"/>
          <w:cols w:equalWidth="0" w:num="2">
            <w:col w:w="5460" w:space="720"/>
            <w:col w:w="5240"/>
          </w:cols>
          <w:pgMar w:left="240" w:top="270"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270" w:right="239" w:bottom="1440" w:gutter="0" w:footer="0" w:header="0"/>
          <w:type w:val="continuous"/>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_____________,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listed on Schedule I to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Underwriting Agreement referred to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The undersigned understands that Morgan Stanley &amp; Co. LLC (“</w:t>
      </w:r>
      <w:r>
        <w:rPr>
          <w:rFonts w:ascii="Arial" w:cs="Arial" w:eastAsia="Arial" w:hAnsi="Arial"/>
          <w:sz w:val="18"/>
          <w:szCs w:val="18"/>
          <w:b w:val="1"/>
          <w:bCs w:val="1"/>
          <w:color w:val="auto"/>
        </w:rPr>
        <w:t>Morgan Stanley</w:t>
      </w:r>
      <w:r>
        <w:rPr>
          <w:rFonts w:ascii="Arial" w:cs="Arial" w:eastAsia="Arial" w:hAnsi="Arial"/>
          <w:sz w:val="18"/>
          <w:szCs w:val="18"/>
          <w:color w:val="auto"/>
        </w:rPr>
        <w:t>”) and Credit Suisse Securities (USA) LLC (“</w:t>
      </w:r>
      <w:r>
        <w:rPr>
          <w:rFonts w:ascii="Arial" w:cs="Arial" w:eastAsia="Arial" w:hAnsi="Arial"/>
          <w:sz w:val="18"/>
          <w:szCs w:val="18"/>
          <w:b w:val="1"/>
          <w:bCs w:val="1"/>
          <w:color w:val="auto"/>
        </w:rPr>
        <w:t>Credit Suisse</w:t>
      </w:r>
      <w:r>
        <w:rPr>
          <w:rFonts w:ascii="Arial" w:cs="Arial" w:eastAsia="Arial" w:hAnsi="Arial"/>
          <w:sz w:val="18"/>
          <w:szCs w:val="18"/>
          <w:color w:val="auto"/>
        </w:rPr>
        <w:t>” and, together with Morgan Stanley, the “</w:t>
      </w:r>
      <w:r>
        <w:rPr>
          <w:rFonts w:ascii="Arial" w:cs="Arial" w:eastAsia="Arial" w:hAnsi="Arial"/>
          <w:sz w:val="18"/>
          <w:szCs w:val="18"/>
          <w:b w:val="1"/>
          <w:bCs w:val="1"/>
          <w:color w:val="auto"/>
        </w:rPr>
        <w:t>Representatives</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Forty Seven,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by the several Underwriters listed on Schedule I to the Underwriting Agreement, including the Representatives (the “</w:t>
      </w:r>
      <w:r>
        <w:rPr>
          <w:rFonts w:ascii="Arial" w:cs="Arial" w:eastAsia="Arial" w:hAnsi="Arial"/>
          <w:sz w:val="18"/>
          <w:szCs w:val="18"/>
          <w:b w:val="1"/>
          <w:bCs w:val="1"/>
          <w:color w:val="auto"/>
        </w:rPr>
        <w:t>Underwriters</w:t>
      </w:r>
      <w:r>
        <w:rPr>
          <w:rFonts w:ascii="Arial" w:cs="Arial" w:eastAsia="Arial" w:hAnsi="Arial"/>
          <w:sz w:val="18"/>
          <w:szCs w:val="18"/>
          <w:color w:val="auto"/>
        </w:rPr>
        <w:t>”), of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common stock, par value $0.0001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hereby agrees that, without the prior written consent of the Representatives on behalf of the Underwriters, it will not, during the period commencing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hereof and ending on and including the 180th day after the date of the final prospectus (the “</w:t>
      </w:r>
      <w:r>
        <w:rPr>
          <w:rFonts w:ascii="Arial" w:cs="Arial" w:eastAsia="Arial" w:hAnsi="Arial"/>
          <w:sz w:val="17"/>
          <w:szCs w:val="17"/>
          <w:b w:val="1"/>
          <w:bCs w:val="1"/>
          <w:color w:val="auto"/>
        </w:rPr>
        <w:t>Restricted Period</w:t>
      </w:r>
      <w:r>
        <w:rPr>
          <w:rFonts w:ascii="Arial" w:cs="Arial" w:eastAsia="Arial" w:hAnsi="Arial"/>
          <w:sz w:val="17"/>
          <w:szCs w:val="17"/>
          <w:color w:val="auto"/>
        </w:rPr>
        <w:t>”) relating to the Public Offering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to purchase, lend, or otherwise transfer or dispose of, directly or indirectly, any shares of Common Stock beneficially owned (as such term is used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exercisable or exchangeable for Common Stock (the “</w:t>
      </w:r>
      <w:r>
        <w:rPr>
          <w:rFonts w:ascii="Arial" w:cs="Arial" w:eastAsia="Arial" w:hAnsi="Arial"/>
          <w:sz w:val="16"/>
          <w:szCs w:val="16"/>
          <w:b w:val="1"/>
          <w:bCs w:val="1"/>
          <w:color w:val="auto"/>
        </w:rPr>
        <w:t>Securities</w:t>
      </w:r>
      <w:r>
        <w:rPr>
          <w:rFonts w:ascii="Arial" w:cs="Arial" w:eastAsia="Arial" w:hAnsi="Arial"/>
          <w:sz w:val="16"/>
          <w:szCs w:val="16"/>
          <w:color w:val="auto"/>
        </w:rPr>
        <w:t>”) or (2) enter into any swap or other arrangement that transfers to another, in whole or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 any of the economic consequences of ownership of the Common Stock, whether any such transaction described in clause (1) or (2) above is to be settled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delivery of Common Stock or such other Securities, in cash or otherwise. The foregoing sentence shall not apply: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234" w:name="page235"/>
    <w:bookmarkEnd w:id="234"/>
    <w:p>
      <w:pPr>
        <w:ind w:right="480" w:firstLine="4"/>
        <w:spacing w:after="0" w:line="277" w:lineRule="auto"/>
        <w:tabs>
          <w:tab w:leader="none" w:pos="245"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transactions relating to shares of Common Stock or other Securities acquired in the Public Offering or in open market transactions after the completion of the Public Offering;</w:t>
      </w:r>
    </w:p>
    <w:p>
      <w:pPr>
        <w:spacing w:after="0" w:line="62" w:lineRule="exact"/>
        <w:rPr>
          <w:rFonts w:ascii="Arial" w:cs="Arial" w:eastAsia="Arial" w:hAnsi="Arial"/>
          <w:sz w:val="18"/>
          <w:szCs w:val="18"/>
          <w:color w:val="auto"/>
        </w:rPr>
      </w:pPr>
    </w:p>
    <w:p>
      <w:pPr>
        <w:ind w:right="40" w:firstLine="4"/>
        <w:spacing w:after="0" w:line="277" w:lineRule="auto"/>
        <w:tabs>
          <w:tab w:leader="none" w:pos="2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transfers of shares of Common Stock or other Securities as a bona fide gift or charitable contribution in a transaction exempt under Section 16(b) of the Exchange Act;</w:t>
      </w:r>
    </w:p>
    <w:p>
      <w:pPr>
        <w:spacing w:after="0" w:line="62" w:lineRule="exact"/>
        <w:rPr>
          <w:rFonts w:ascii="Arial" w:cs="Arial" w:eastAsia="Arial" w:hAnsi="Arial"/>
          <w:sz w:val="18"/>
          <w:szCs w:val="18"/>
          <w:color w:val="auto"/>
        </w:rPr>
      </w:pPr>
    </w:p>
    <w:p>
      <w:pPr>
        <w:ind w:right="540" w:firstLine="4"/>
        <w:spacing w:after="0" w:line="277" w:lineRule="auto"/>
        <w:tabs>
          <w:tab w:leader="none" w:pos="24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transfers of shares of Common Stock or other Securities by will or intestate succession upon the death of the undersigned, including to the transferee’s nominee or custodian;</w:t>
      </w:r>
    </w:p>
    <w:p>
      <w:pPr>
        <w:spacing w:after="0" w:line="62" w:lineRule="exact"/>
        <w:rPr>
          <w:rFonts w:ascii="Arial" w:cs="Arial" w:eastAsia="Arial" w:hAnsi="Arial"/>
          <w:sz w:val="18"/>
          <w:szCs w:val="18"/>
          <w:color w:val="auto"/>
        </w:rPr>
      </w:pPr>
    </w:p>
    <w:p>
      <w:pPr>
        <w:ind w:right="220" w:firstLine="4"/>
        <w:spacing w:after="0" w:line="264" w:lineRule="auto"/>
        <w:tabs>
          <w:tab w:leader="none" w:pos="2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transfers of shares of Common Stock or other Securities to an immediate family member or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73" w:lineRule="exact"/>
        <w:rPr>
          <w:rFonts w:ascii="Arial" w:cs="Arial" w:eastAsia="Arial" w:hAnsi="Arial"/>
          <w:sz w:val="18"/>
          <w:szCs w:val="18"/>
          <w:color w:val="auto"/>
        </w:rPr>
      </w:pPr>
    </w:p>
    <w:p>
      <w:pPr>
        <w:ind w:right="100" w:firstLine="4"/>
        <w:spacing w:after="0" w:line="277" w:lineRule="auto"/>
        <w:tabs>
          <w:tab w:leader="none" w:pos="24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transfers or distributions of shares of Common Stock or any other Securities by a stockholder that is a trust to a trustor or beneficiary of the trust or to the estate of a beneficiary of such trust;</w:t>
      </w:r>
    </w:p>
    <w:p>
      <w:pPr>
        <w:spacing w:after="0" w:line="62" w:lineRule="exact"/>
        <w:rPr>
          <w:rFonts w:ascii="Arial" w:cs="Arial" w:eastAsia="Arial" w:hAnsi="Arial"/>
          <w:sz w:val="18"/>
          <w:szCs w:val="18"/>
          <w:color w:val="auto"/>
        </w:rPr>
      </w:pPr>
    </w:p>
    <w:p>
      <w:pPr>
        <w:ind w:right="100" w:firstLine="4"/>
        <w:spacing w:after="0" w:line="302" w:lineRule="auto"/>
        <w:tabs>
          <w:tab w:leader="none" w:pos="22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(1) to distributions of shares of Common Stock or other Securities to limited partners, members, stockholders or holders of similar equity interests in the undersigned (or in each case its nominee or custodian) or (2) to transfers of shares of Common Stock or other Securities to another corporation, partnership, limited liability company, trust or other business entity (or in each case its nominee or custodian) that is a direct or indirect subsidiary of the undersigned;</w:t>
      </w:r>
    </w:p>
    <w:p>
      <w:pPr>
        <w:spacing w:after="0" w:line="46" w:lineRule="exact"/>
        <w:rPr>
          <w:rFonts w:ascii="Arial" w:cs="Arial" w:eastAsia="Arial" w:hAnsi="Arial"/>
          <w:sz w:val="16"/>
          <w:szCs w:val="16"/>
          <w:color w:val="auto"/>
        </w:rPr>
      </w:pPr>
    </w:p>
    <w:p>
      <w:pPr>
        <w:ind w:right="20" w:firstLine="4"/>
        <w:spacing w:after="0" w:line="279" w:lineRule="auto"/>
        <w:tabs>
          <w:tab w:leader="none" w:pos="25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to transfers of shares of Common Stock or other Securities by operation of law pursuant to a qualified domestic order or in connection with a divorce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required by Section 16 of the Exchange Act shall clearly indicate in the footnotes thereto that such transfer is being made pursuant to the circumstances described in this clause (g) and such shares remain subject to this lock-up agreement;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other public announcement or filing shall be required or shall be voluntarily made during the Restricted Period;</w:t>
      </w:r>
    </w:p>
    <w:p>
      <w:pPr>
        <w:spacing w:after="0" w:line="63" w:lineRule="exact"/>
        <w:rPr>
          <w:rFonts w:ascii="Arial" w:cs="Arial" w:eastAsia="Arial" w:hAnsi="Arial"/>
          <w:sz w:val="17"/>
          <w:szCs w:val="17"/>
          <w:color w:val="auto"/>
        </w:rPr>
      </w:pPr>
    </w:p>
    <w:p>
      <w:pPr>
        <w:ind w:firstLine="4"/>
        <w:spacing w:after="0" w:line="312" w:lineRule="auto"/>
        <w:tabs>
          <w:tab w:leader="none" w:pos="25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in connection with the disposition or transfer of shares of Common Stock to the Company upon the “net” or “cashless” exercise of stock options or other equity awards outstanding as of the date of the Prospectus and granted pursuant to an employee benefit plan described in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underlying shares of Common Stock issued to the undersigned upon such exercise shall continue to be subject to this lock-up agreement;</w:t>
      </w:r>
    </w:p>
    <w:p>
      <w:pPr>
        <w:spacing w:after="0" w:line="38" w:lineRule="exact"/>
        <w:rPr>
          <w:rFonts w:ascii="Arial" w:cs="Arial" w:eastAsia="Arial" w:hAnsi="Arial"/>
          <w:sz w:val="16"/>
          <w:szCs w:val="16"/>
          <w:color w:val="auto"/>
        </w:rPr>
      </w:pPr>
    </w:p>
    <w:p>
      <w:pPr>
        <w:ind w:right="400" w:firstLine="4"/>
        <w:spacing w:after="0" w:line="264" w:lineRule="auto"/>
        <w:tabs>
          <w:tab w:leader="none" w:pos="21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to the exercise solely with cash of a stock option granted under a stock incentive plan or stock purchase plan described in the Prospectus by the undersigned, and the receipt by the undersigned from the Company of shares of Common Stock upon such exercise, insofar as such option is outstanding as of the date of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underlying</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20"/>
          </w:cols>
          <w:pgMar w:left="700" w:top="274" w:right="279" w:bottom="1440" w:gutter="0" w:footer="0" w:header="0"/>
        </w:sectPr>
      </w:pPr>
    </w:p>
    <w:bookmarkStart w:id="235" w:name="page236"/>
    <w:bookmarkEnd w:id="235"/>
    <w:p>
      <w:pPr>
        <w:ind w:left="460"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shares shall continue to be subject to the restrictions on transfer set forth in this lock-up agreement;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required, any public report or filing under Section 16 of the Exchange Act shall clearly indicate in the footnotes thereto that the filing relates to the exercise of a stock option, that no shares were sold by the reporting person and that the shares received upon exercise of the stock option are subject to a lock-up agreement with the Underwriters of the Public Offering;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other public announcement or filing shall be required or shall be voluntarily made during the Restricted Period;</w:t>
      </w:r>
    </w:p>
    <w:p>
      <w:pPr>
        <w:spacing w:after="0" w:line="80" w:lineRule="exact"/>
        <w:rPr>
          <w:sz w:val="20"/>
          <w:szCs w:val="20"/>
          <w:color w:val="auto"/>
        </w:rPr>
      </w:pPr>
    </w:p>
    <w:p>
      <w:pPr>
        <w:ind w:left="460" w:right="20" w:firstLine="4"/>
        <w:spacing w:after="0" w:line="255" w:lineRule="auto"/>
        <w:tabs>
          <w:tab w:leader="none" w:pos="67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to transfers to the Company of shares of Common Stock or other Securities in connection with the repurchase by the Company from the undersigned of shares of Common Stock or other Securities pursuant to a repurchase right arising upon the termination of the undersigned’s employment with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repurchase right is pursuant to contractual agreements with the Company;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filing required by Section 16 of the Exchange Act shall clearly indicate in the footnotes thereto that such transfer is being made pursuant to the circumstances described in this clause (j);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other public announcement or filing shall be required or shall be voluntarily made during the Restricted Period;</w:t>
      </w:r>
    </w:p>
    <w:p>
      <w:pPr>
        <w:spacing w:after="0" w:line="85" w:lineRule="exact"/>
        <w:rPr>
          <w:rFonts w:ascii="Arial" w:cs="Arial" w:eastAsia="Arial" w:hAnsi="Arial"/>
          <w:sz w:val="18"/>
          <w:szCs w:val="18"/>
          <w:color w:val="auto"/>
        </w:rPr>
      </w:pPr>
    </w:p>
    <w:p>
      <w:pPr>
        <w:ind w:left="460" w:firstLine="4"/>
        <w:spacing w:after="0" w:line="254" w:lineRule="auto"/>
        <w:tabs>
          <w:tab w:leader="none" w:pos="71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to transfers of shares of Common Stock or other Securities pursuant to a bona fide third-party tender offer, merger, consolidation or other similar transaction involving a Change of Control (as defined below) of the Company which occurs after the consummation of the Public Offering, is open to all holders of the Company’s capital stock and has been approved by the board of directors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tender offer, merger, consolidation or other such transaction is not completed, the Securities held by the undersigned shall remain subject to the provisions of this lock-up agreement (for purposes of this clause (k),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the consummation of any bona fide third party tender offer, merger, consolidation or other similar transaction the result of which is that any “person” (as defined in Section 13(d)(3) of the Exchange Act), or group of persons, becomes the beneficial owner (as defined in Rules 13d-3 and 13d-5 of the Exchange Act) of at least 50% of total voting power of the voting stock of the Company); or</w:t>
      </w:r>
    </w:p>
    <w:p>
      <w:pPr>
        <w:spacing w:after="0" w:line="84" w:lineRule="exact"/>
        <w:rPr>
          <w:rFonts w:ascii="Arial" w:cs="Arial" w:eastAsia="Arial" w:hAnsi="Arial"/>
          <w:sz w:val="18"/>
          <w:szCs w:val="18"/>
          <w:color w:val="auto"/>
        </w:rPr>
      </w:pPr>
    </w:p>
    <w:p>
      <w:pPr>
        <w:ind w:left="460" w:right="40" w:firstLine="4"/>
        <w:spacing w:after="0" w:line="257" w:lineRule="auto"/>
        <w:tabs>
          <w:tab w:leader="none" w:pos="67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to the establishment or amendment of a trading plan pursuant to Rule 10b5-1 under the Exchange Act for the transfer of shares of Common Stock;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such plan does not provide for the transfer of Common Stock during the Restricted Period and (ii) to the extent a public announcement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31" w:lineRule="exact"/>
        <w:rPr>
          <w:sz w:val="20"/>
          <w:szCs w:val="20"/>
          <w:color w:val="auto"/>
        </w:rPr>
      </w:pPr>
    </w:p>
    <w:p>
      <w:pPr>
        <w:ind w:left="900" w:right="100" w:hanging="446"/>
        <w:spacing w:after="0" w:line="277"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each of the clauses (b) through (g) above, each donee, trustee, distributee or transferee shall sign and deliver a lock-up agreement to the Representatives substantially in the form of this letter;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236" w:name="page237"/>
    <w:bookmarkEnd w:id="236"/>
    <w:p>
      <w:pPr>
        <w:ind w:left="900" w:hanging="446"/>
        <w:spacing w:after="0" w:line="264"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any transfer or distribution pursuant to each of the clauses (b) through (f) and (h) above, no filing under Section 16 of the Exchange Act, reporting a reduction in beneficial ownership of shares of Common Stock, and no other public announcement or filing shall be required or shall be voluntarily made during the Restricted Period;</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each of clauses (b) through (f) above, such transfer or distribution shall not involve a disposition for value;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event of any transfer or distribution for which a public filing under Section 16 of the Exchange Act or any other public filing or announcement is permitted hereunder, the undersigned covenants and agrees to use commercially reasonable efforts to give the Representatives written notice at least one business day (which, for the avoidance of doubt, shall be at least a twenty-four (24) hour period) before such transaction and such filing or announcement.</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the undersigned agrees that, without the prior written consent of the Representatives on behalf of the Underwriters, it will not, during the Restricted Period, make any demand for or exercise any right with respect to, the registration of any shares of Common Stock or any other Security.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issuer-directed Shares the undersigned may purchase in the Public Offering.</w:t>
      </w:r>
    </w:p>
    <w:p>
      <w:pPr>
        <w:spacing w:after="0" w:line="17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92"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74" w:right="279" w:bottom="1440" w:gutter="0" w:footer="0" w:header="0"/>
        </w:sectPr>
      </w:pPr>
    </w:p>
    <w:bookmarkStart w:id="237" w:name="page238"/>
    <w:bookmarkEnd w:id="237"/>
    <w:p>
      <w:pPr>
        <w:ind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or not the Public Offering actually occurs depends on a number of factors, including market conditions. Any Public Offering will only be made pursuant to an Underwriting Agreement, the terms of which are subject to negotiation between the Company and the Underwriters. Notwithstanding anything to the contrary contained herein, this lock-up agreement will automatically terminate and the undersigned will be released from all of his, her or its obligations hereunder upon the earliest to occur, if any, of (i) the Company advises the Representatives in writing before the execution of the Underwriting Agreement that it has determined not to proceed with the Public Offering, (ii) the Company withdraws the registration statement related to the Public Offering before the execution of the Underwriting Agreement, (iii) the Underwriting Agreement is executed but is terminated (other than the provisions thereof which survive termination) prior to payment for and delivery of the shares of Common Stock to be sold thereunder or (iv) December 31, 2018, in the event that the Underwriting Agreement has not been executed by such date.</w:t>
      </w:r>
    </w:p>
    <w:p>
      <w:pPr>
        <w:spacing w:after="0" w:line="179"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This lock-up agreement and any claim, controversy or dispute arising under or related to this agreement shall be governed by and construed in accordance with the laws of the State of New York.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74" w:right="25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30"/>
        </w:trPr>
        <w:tc>
          <w:tcPr>
            <w:tcW w:w="5360" w:type="dxa"/>
            <w:vAlign w:val="bottom"/>
            <w:gridSpan w:val="3"/>
          </w:tcPr>
          <w:p>
            <w:pPr>
              <w:spacing w:after="0"/>
              <w:rPr>
                <w:sz w:val="20"/>
                <w:szCs w:val="20"/>
                <w:color w:val="auto"/>
              </w:rPr>
            </w:pPr>
            <w:r>
              <w:rPr>
                <w:rFonts w:ascii="Arial" w:cs="Arial" w:eastAsia="Arial" w:hAnsi="Arial"/>
                <w:sz w:val="18"/>
                <w:szCs w:val="18"/>
                <w:color w:val="auto"/>
              </w:rPr>
              <w:t>Very truly yours,</w:t>
            </w: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432"/>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IF AN INDIVIDUAL:</w:t>
            </w:r>
          </w:p>
        </w:tc>
        <w:tc>
          <w:tcPr>
            <w:tcW w:w="540" w:type="dxa"/>
            <w:vAlign w:val="bottom"/>
          </w:tcPr>
          <w:p>
            <w:pPr>
              <w:spacing w:after="0"/>
              <w:rPr>
                <w:sz w:val="24"/>
                <w:szCs w:val="24"/>
                <w:color w:val="auto"/>
              </w:rPr>
            </w:pPr>
          </w:p>
        </w:tc>
        <w:tc>
          <w:tcPr>
            <w:tcW w:w="5520" w:type="dxa"/>
            <w:vAlign w:val="bottom"/>
            <w:gridSpan w:val="3"/>
          </w:tcPr>
          <w:p>
            <w:pPr>
              <w:ind w:left="180"/>
              <w:spacing w:after="0"/>
              <w:rPr>
                <w:sz w:val="20"/>
                <w:szCs w:val="20"/>
                <w:color w:val="auto"/>
              </w:rPr>
            </w:pPr>
            <w:r>
              <w:rPr>
                <w:rFonts w:ascii="Arial" w:cs="Arial" w:eastAsia="Arial" w:hAnsi="Arial"/>
                <w:sz w:val="18"/>
                <w:szCs w:val="18"/>
                <w:b w:val="1"/>
                <w:bCs w:val="1"/>
                <w:color w:val="auto"/>
              </w:rPr>
              <w:t>IF AN ENTITY:</w:t>
            </w:r>
          </w:p>
        </w:tc>
      </w:tr>
      <w:tr>
        <w:trPr>
          <w:trHeight w:val="324"/>
        </w:trPr>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1"/>
              </w:rPr>
              <w:t>(duly authorized signature)</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0"/>
              </w:rPr>
              <w:t>(please print complete name of entity)</w:t>
            </w:r>
          </w:p>
        </w:tc>
      </w:tr>
      <w:tr>
        <w:trPr>
          <w:trHeight w:val="418"/>
        </w:trPr>
        <w:tc>
          <w:tcPr>
            <w:tcW w:w="5360" w:type="dxa"/>
            <w:vAlign w:val="bottom"/>
            <w:gridSpan w:val="3"/>
          </w:tcPr>
          <w:p>
            <w:pPr>
              <w:spacing w:after="0"/>
              <w:rPr>
                <w:sz w:val="20"/>
                <w:szCs w:val="20"/>
                <w:color w:val="auto"/>
              </w:rPr>
            </w:pPr>
            <w:r>
              <w:rPr>
                <w:rFonts w:ascii="Arial" w:cs="Arial" w:eastAsia="Arial" w:hAnsi="Arial"/>
                <w:sz w:val="18"/>
                <w:szCs w:val="18"/>
                <w:color w:val="auto"/>
              </w:rPr>
              <w:t>Name:</w:t>
            </w:r>
          </w:p>
        </w:tc>
        <w:tc>
          <w:tcPr>
            <w:tcW w:w="540" w:type="dxa"/>
            <w:vAlign w:val="bottom"/>
          </w:tcPr>
          <w:p>
            <w:pPr>
              <w:spacing w:after="0"/>
              <w:rPr>
                <w:sz w:val="24"/>
                <w:szCs w:val="24"/>
                <w:color w:val="auto"/>
              </w:rPr>
            </w:pPr>
          </w:p>
        </w:tc>
        <w:tc>
          <w:tcPr>
            <w:tcW w:w="5520" w:type="dxa"/>
            <w:vAlign w:val="bottom"/>
            <w:gridSpan w:val="3"/>
          </w:tcPr>
          <w:p>
            <w:pPr>
              <w:ind w:left="180"/>
              <w:spacing w:after="0"/>
              <w:rPr>
                <w:sz w:val="20"/>
                <w:szCs w:val="20"/>
                <w:color w:val="auto"/>
              </w:rPr>
            </w:pPr>
            <w:r>
              <w:rPr>
                <w:rFonts w:ascii="Arial" w:cs="Arial" w:eastAsia="Arial" w:hAnsi="Arial"/>
                <w:sz w:val="18"/>
                <w:szCs w:val="18"/>
                <w:color w:val="auto"/>
              </w:rPr>
              <w:t>By:</w:t>
            </w:r>
          </w:p>
        </w:tc>
      </w:tr>
      <w:tr>
        <w:trPr>
          <w:trHeight w:val="224"/>
        </w:trPr>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(please print full name)</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(duly authorized signature)</w:t>
            </w:r>
          </w:p>
        </w:tc>
      </w:tr>
      <w:tr>
        <w:trPr>
          <w:trHeight w:val="418"/>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20" w:type="dxa"/>
            <w:vAlign w:val="bottom"/>
            <w:gridSpan w:val="3"/>
          </w:tcPr>
          <w:p>
            <w:pPr>
              <w:ind w:left="180"/>
              <w:spacing w:after="0"/>
              <w:rPr>
                <w:sz w:val="20"/>
                <w:szCs w:val="20"/>
                <w:color w:val="auto"/>
              </w:rPr>
            </w:pPr>
            <w:r>
              <w:rPr>
                <w:rFonts w:ascii="Arial" w:cs="Arial" w:eastAsia="Arial" w:hAnsi="Arial"/>
                <w:sz w:val="18"/>
                <w:szCs w:val="18"/>
                <w:color w:val="auto"/>
              </w:rPr>
              <w:t>Name:</w:t>
            </w:r>
          </w:p>
        </w:tc>
      </w:tr>
      <w:tr>
        <w:trPr>
          <w:trHeight w:val="224"/>
        </w:trPr>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(please print full name)</w:t>
            </w:r>
          </w:p>
        </w:tc>
      </w:tr>
      <w:tr>
        <w:trPr>
          <w:trHeight w:val="418"/>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20" w:type="dxa"/>
            <w:vAlign w:val="bottom"/>
            <w:gridSpan w:val="3"/>
          </w:tcPr>
          <w:p>
            <w:pPr>
              <w:ind w:left="180"/>
              <w:spacing w:after="0"/>
              <w:rPr>
                <w:sz w:val="20"/>
                <w:szCs w:val="20"/>
                <w:color w:val="auto"/>
              </w:rPr>
            </w:pPr>
            <w:r>
              <w:rPr>
                <w:rFonts w:ascii="Arial" w:cs="Arial" w:eastAsia="Arial" w:hAnsi="Arial"/>
                <w:sz w:val="18"/>
                <w:szCs w:val="18"/>
                <w:color w:val="auto"/>
              </w:rPr>
              <w:t>Title:</w:t>
            </w:r>
          </w:p>
        </w:tc>
      </w:tr>
      <w:tr>
        <w:trPr>
          <w:trHeight w:val="224"/>
        </w:trPr>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(please print full title)</w:t>
            </w:r>
          </w:p>
        </w:tc>
      </w:tr>
      <w:tr>
        <w:trPr>
          <w:trHeight w:val="418"/>
        </w:trPr>
        <w:tc>
          <w:tcPr>
            <w:tcW w:w="536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540" w:type="dxa"/>
            <w:vAlign w:val="bottom"/>
          </w:tcPr>
          <w:p>
            <w:pPr>
              <w:spacing w:after="0"/>
              <w:rPr>
                <w:sz w:val="24"/>
                <w:szCs w:val="24"/>
                <w:color w:val="auto"/>
              </w:rPr>
            </w:pPr>
          </w:p>
        </w:tc>
        <w:tc>
          <w:tcPr>
            <w:tcW w:w="5520" w:type="dxa"/>
            <w:vAlign w:val="bottom"/>
            <w:gridSpan w:val="3"/>
          </w:tcPr>
          <w:p>
            <w:pPr>
              <w:ind w:left="180"/>
              <w:spacing w:after="0"/>
              <w:rPr>
                <w:sz w:val="20"/>
                <w:szCs w:val="20"/>
                <w:color w:val="auto"/>
              </w:rPr>
            </w:pPr>
            <w:r>
              <w:rPr>
                <w:rFonts w:ascii="Arial" w:cs="Arial" w:eastAsia="Arial" w:hAnsi="Arial"/>
                <w:sz w:val="18"/>
                <w:szCs w:val="18"/>
                <w:color w:val="auto"/>
              </w:rPr>
              <w:t>Address:</w:t>
            </w:r>
          </w:p>
        </w:tc>
      </w:tr>
      <w:tr>
        <w:trPr>
          <w:trHeight w:val="257"/>
        </w:trPr>
        <w:tc>
          <w:tcPr>
            <w:tcW w:w="5360" w:type="dxa"/>
            <w:vAlign w:val="bottom"/>
            <w:tcBorders>
              <w:bottom w:val="single" w:sz="8" w:color="auto"/>
            </w:tcBorders>
            <w:gridSpan w:val="3"/>
          </w:tcPr>
          <w:p>
            <w:pPr>
              <w:spacing w:after="0"/>
              <w:rPr>
                <w:sz w:val="22"/>
                <w:szCs w:val="22"/>
                <w:color w:val="auto"/>
              </w:rPr>
            </w:pPr>
          </w:p>
        </w:tc>
        <w:tc>
          <w:tcPr>
            <w:tcW w:w="540" w:type="dxa"/>
            <w:vAlign w:val="bottom"/>
          </w:tcPr>
          <w:p>
            <w:pPr>
              <w:spacing w:after="0"/>
              <w:rPr>
                <w:sz w:val="22"/>
                <w:szCs w:val="22"/>
                <w:color w:val="auto"/>
              </w:rPr>
            </w:pPr>
          </w:p>
        </w:tc>
        <w:tc>
          <w:tcPr>
            <w:tcW w:w="5520" w:type="dxa"/>
            <w:vAlign w:val="bottom"/>
            <w:tcBorders>
              <w:bottom w:val="single" w:sz="8" w:color="auto"/>
            </w:tcBorders>
            <w:gridSpan w:val="3"/>
          </w:tcPr>
          <w:p>
            <w:pPr>
              <w:spacing w:after="0"/>
              <w:rPr>
                <w:sz w:val="22"/>
                <w:szCs w:val="22"/>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r>
      <w:tr>
        <w:trPr>
          <w:trHeight w:val="304"/>
        </w:trPr>
        <w:tc>
          <w:tcPr>
            <w:tcW w:w="680" w:type="dxa"/>
            <w:vAlign w:val="bottom"/>
            <w:gridSpan w:val="2"/>
          </w:tcPr>
          <w:p>
            <w:pPr>
              <w:spacing w:after="0"/>
              <w:rPr>
                <w:sz w:val="20"/>
                <w:szCs w:val="20"/>
                <w:color w:val="auto"/>
              </w:rPr>
            </w:pPr>
            <w:r>
              <w:rPr>
                <w:rFonts w:ascii="Arial" w:cs="Arial" w:eastAsia="Arial" w:hAnsi="Arial"/>
                <w:sz w:val="18"/>
                <w:szCs w:val="18"/>
                <w:color w:val="auto"/>
              </w:rPr>
              <w:t>E-mail:</w:t>
            </w:r>
          </w:p>
        </w:tc>
        <w:tc>
          <w:tcPr>
            <w:tcW w:w="46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E-mail:</w:t>
            </w:r>
          </w:p>
        </w:tc>
        <w:tc>
          <w:tcPr>
            <w:tcW w:w="4680" w:type="dxa"/>
            <w:vAlign w:val="bottom"/>
            <w:tcBorders>
              <w:bottom w:val="single" w:sz="8" w:color="auto"/>
            </w:tcBorders>
          </w:tcPr>
          <w:p>
            <w:pPr>
              <w:spacing w:after="0"/>
              <w:rPr>
                <w:sz w:val="24"/>
                <w:szCs w:val="24"/>
                <w:color w:val="auto"/>
              </w:rPr>
            </w:pPr>
          </w:p>
        </w:tc>
      </w:tr>
      <w:tr>
        <w:trPr>
          <w:trHeight w:val="358"/>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060" w:type="dxa"/>
            <w:vAlign w:val="bottom"/>
            <w:gridSpan w:val="4"/>
          </w:tcPr>
          <w:p>
            <w:pPr>
              <w:ind w:left="220"/>
              <w:spacing w:after="0"/>
              <w:rPr>
                <w:sz w:val="20"/>
                <w:szCs w:val="20"/>
                <w:color w:val="auto"/>
              </w:rPr>
            </w:pPr>
            <w:r>
              <w:rPr>
                <w:rFonts w:ascii="Arial" w:cs="Arial" w:eastAsia="Arial" w:hAnsi="Arial"/>
                <w:sz w:val="18"/>
                <w:szCs w:val="18"/>
                <w:color w:val="auto"/>
              </w:rPr>
              <w:t>A-6</w:t>
            </w:r>
          </w:p>
        </w:tc>
      </w:tr>
    </w:tbl>
    <w:p>
      <w:pPr>
        <w:ind w:left="22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12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letter is being delivered to you in connection with the offering by Forty Seven, Inc. (the “</w:t>
      </w:r>
      <w:r>
        <w:rPr>
          <w:rFonts w:ascii="Arial" w:cs="Arial" w:eastAsia="Arial" w:hAnsi="Arial"/>
          <w:sz w:val="16"/>
          <w:szCs w:val="16"/>
          <w:b w:val="1"/>
          <w:bCs w:val="1"/>
          <w:color w:val="auto"/>
        </w:rPr>
        <w:t>Company</w:t>
      </w:r>
      <w:r>
        <w:rPr>
          <w:rFonts w:ascii="Arial" w:cs="Arial" w:eastAsia="Arial" w:hAnsi="Arial"/>
          <w:sz w:val="16"/>
          <w:szCs w:val="16"/>
          <w:color w:val="auto"/>
        </w:rPr>
        <w:t>”) of _____ shares of common stock, $0.0001</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and the lock-up letter dated ____, 20__ (the “</w:t>
      </w:r>
      <w:r>
        <w:rPr>
          <w:rFonts w:ascii="Arial" w:cs="Arial" w:eastAsia="Arial" w:hAnsi="Arial"/>
          <w:sz w:val="16"/>
          <w:szCs w:val="16"/>
          <w:b w:val="1"/>
          <w:bCs w:val="1"/>
          <w:color w:val="auto"/>
        </w:rPr>
        <w:t>Lock-up Letter</w:t>
      </w:r>
      <w:r>
        <w:rPr>
          <w:rFonts w:ascii="Arial" w:cs="Arial" w:eastAsia="Arial" w:hAnsi="Arial"/>
          <w:sz w:val="16"/>
          <w:szCs w:val="16"/>
          <w:color w:val="auto"/>
        </w:rPr>
        <w:t>”), executed by you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such offering, and your request for a [waiver] [release] dated ____, 20__, with respect to ____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1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Morgan Stanley &amp; Co. LLC and Credit Suisse Securities (USA) LLC hereby agree to [waive] [release] the transfer restrictions set forth in the Lock-up Letter, but only with respect to the Shares, effective _____, 20__;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[waiver] [release] is conditioned on the Company announcing</w:t>
      </w:r>
    </w:p>
    <w:p>
      <w:pPr>
        <w:ind w:right="20"/>
        <w:spacing w:after="0" w:line="261" w:lineRule="auto"/>
        <w:rPr>
          <w:sz w:val="20"/>
          <w:szCs w:val="20"/>
          <w:color w:val="auto"/>
        </w:rPr>
      </w:pPr>
      <w:r>
        <w:rPr>
          <w:rFonts w:ascii="Arial" w:cs="Arial" w:eastAsia="Arial" w:hAnsi="Arial"/>
          <w:sz w:val="18"/>
          <w:szCs w:val="18"/>
          <w:color w:val="auto"/>
        </w:rPr>
        <w:t>the impending [waiver] [release] by press release through a major news service at least two business days before effectiveness of such [waiver] [release]. This letter will serve as notice to the Company of the impending [waiver] [release].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240" w:name="page241"/>
    <w:bookmarkEnd w:id="240"/>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Credit Suisse Securities (USA) 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Acting severally on behalf of themselves and the several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Underwriters named in Schedule I to the Underwriting</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20"/>
          </w:cols>
          <w:pgMar w:left="240" w:top="274" w:right="739" w:bottom="1440" w:gutter="0" w:footer="0" w:header="0"/>
        </w:sectPr>
      </w:pPr>
    </w:p>
    <w:bookmarkStart w:id="241" w:name="page242"/>
    <w:bookmarkEnd w:id="24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Forty Seven,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Forty Seven,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and Credit Suisse Securities (USA) LLC, the lead book-running managers in the Company’s recent public sale of _____ shares of common stock, are [waiving][releasing] a lock-up restriction with respect to ____ shares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held by [certain officers or directors] [an officer or director] of the Company. The [waiver][release] will take effect on ____,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20__, and the shares may be sold on or after such date.</w:t>
      </w:r>
    </w:p>
    <w:p>
      <w:pPr>
        <w:spacing w:after="0" w:line="315"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20"/>
          </w:cols>
          <w:pgMar w:left="240" w:top="270"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FORTY SEVEN,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McCamish hereby certifies that:</w:t>
      </w:r>
    </w:p>
    <w:p>
      <w:pPr>
        <w:spacing w:after="0" w:line="221"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ONE: </w:t>
      </w:r>
      <w:r>
        <w:rPr>
          <w:rFonts w:ascii="Arial" w:cs="Arial" w:eastAsia="Arial" w:hAnsi="Arial"/>
          <w:sz w:val="18"/>
          <w:szCs w:val="18"/>
          <w:color w:val="auto"/>
        </w:rPr>
        <w:t>The original name of this corporation is CD47 Sciences, Inc. and the date of filing the original Certificate of Incorporation of this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Secretary of State of the State of Delaware was October 14, 2014.</w:t>
      </w:r>
    </w:p>
    <w:p>
      <w:pPr>
        <w:spacing w:after="0" w:line="16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TWO:</w:t>
      </w:r>
      <w:r>
        <w:rPr>
          <w:sz w:val="20"/>
          <w:szCs w:val="20"/>
          <w:color w:val="auto"/>
        </w:rPr>
        <w:tab/>
      </w:r>
      <w:r>
        <w:rPr>
          <w:rFonts w:ascii="Arial" w:cs="Arial" w:eastAsia="Arial" w:hAnsi="Arial"/>
          <w:sz w:val="16"/>
          <w:szCs w:val="16"/>
          <w:color w:val="auto"/>
        </w:rPr>
        <w:t>He is the duly elected and acting President of Forty Seven, Inc., a Delaware corporation.</w:t>
      </w:r>
    </w:p>
    <w:p>
      <w:pPr>
        <w:spacing w:after="0" w:line="225"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b w:val="1"/>
          <w:bCs w:val="1"/>
          <w:color w:val="auto"/>
        </w:rPr>
        <w:t>THREE:</w:t>
      </w:r>
      <w:r>
        <w:rPr>
          <w:sz w:val="20"/>
          <w:szCs w:val="20"/>
          <w:color w:val="auto"/>
        </w:rPr>
        <w:tab/>
      </w:r>
      <w:r>
        <w:rPr>
          <w:rFonts w:ascii="Arial" w:cs="Arial" w:eastAsia="Arial" w:hAnsi="Arial"/>
          <w:sz w:val="16"/>
          <w:szCs w:val="16"/>
          <w:color w:val="auto"/>
        </w:rPr>
        <w:t>The Certificate of Incorporation of this corporation is hereby amended and restated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corporation is Forty Seven,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address of the registered office of this Company in the State of Delaware is 251 Little Falls Drive, City of Wilmington, County of New Castle, 19808, and the name of the registered agent of this corporation in the State of Delaware at such address is Corporation Service Company.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ind w:right="40" w:firstLine="464"/>
        <w:spacing w:after="0" w:line="259" w:lineRule="auto"/>
        <w:tabs>
          <w:tab w:leader="none" w:pos="808"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The Company is authorized to issue two classes of stock to be designated, respectively, “Common Stock” and “Preferred Stock.” The total number of shares that the Company is authorized to issue is 216,215,944 shares, 200,000,000 shares of which shall be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16,215,944 shares of which shall be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Preferred Stock shall have a par value of $0.0001 per share and the Common Stock shall have a par value of $0.0001 per share.</w:t>
      </w:r>
    </w:p>
    <w:p>
      <w:pPr>
        <w:spacing w:after="0" w:line="186" w:lineRule="exact"/>
        <w:rPr>
          <w:rFonts w:ascii="Arial" w:cs="Arial" w:eastAsia="Arial" w:hAnsi="Arial"/>
          <w:sz w:val="18"/>
          <w:szCs w:val="18"/>
          <w:b w:val="1"/>
          <w:bCs w:val="1"/>
          <w:color w:val="auto"/>
        </w:rPr>
      </w:pPr>
    </w:p>
    <w:p>
      <w:pPr>
        <w:ind w:right="280" w:firstLine="464"/>
        <w:spacing w:after="0" w:line="264" w:lineRule="auto"/>
        <w:tabs>
          <w:tab w:leader="none" w:pos="798"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The number of authorized shares of Common Stock may be increased or decreased (but not below the number of shares of Common Stock then outstanding) by the affirmative vote of the holders of a majority of the stock of the Company entitled to vote (voting together as a single class on an as-if-converted basis).</w:t>
      </w:r>
    </w:p>
    <w:p>
      <w:pPr>
        <w:sectPr>
          <w:pgSz w:w="11900" w:h="16838" w:orient="portrait"/>
          <w:cols w:equalWidth="0" w:num="1">
            <w:col w:w="11420"/>
          </w:cols>
          <w:pgMar w:left="240" w:top="121" w:right="239" w:bottom="1440" w:gutter="0" w:footer="0" w:header="0"/>
        </w:sectPr>
      </w:pPr>
    </w:p>
    <w:bookmarkStart w:id="243" w:name="page244"/>
    <w:bookmarkEnd w:id="243"/>
    <w:p>
      <w:pPr>
        <w:ind w:left="820" w:hanging="356"/>
        <w:spacing w:after="0"/>
        <w:tabs>
          <w:tab w:leader="none" w:pos="820" w:val="left"/>
        </w:tabs>
        <w:numPr>
          <w:ilvl w:val="1"/>
          <w:numId w:val="16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4,438,709 of the authorized shares of Preferred Stock are hereby designated “Series A-1 Preferred Stock” (the “</w:t>
      </w:r>
      <w:r>
        <w:rPr>
          <w:rFonts w:ascii="Arial" w:cs="Arial" w:eastAsia="Arial" w:hAnsi="Arial"/>
          <w:sz w:val="17"/>
          <w:szCs w:val="17"/>
          <w:b w:val="1"/>
          <w:bCs w:val="1"/>
          <w:i w:val="1"/>
          <w:iCs w:val="1"/>
          <w:color w:val="auto"/>
        </w:rPr>
        <w:t>Series A-1 Preferred</w:t>
      </w:r>
      <w:r>
        <w:rPr>
          <w:rFonts w:ascii="Arial" w:cs="Arial" w:eastAsia="Arial" w:hAnsi="Arial"/>
          <w:sz w:val="17"/>
          <w:szCs w:val="17"/>
          <w:color w:val="auto"/>
        </w:rPr>
        <w:t>”).</w:t>
      </w:r>
    </w:p>
    <w:p>
      <w:pPr>
        <w:spacing w:after="0" w:line="236" w:lineRule="exact"/>
        <w:rPr>
          <w:rFonts w:ascii="Arial" w:cs="Arial" w:eastAsia="Arial" w:hAnsi="Arial"/>
          <w:sz w:val="17"/>
          <w:szCs w:val="17"/>
          <w:b w:val="1"/>
          <w:bCs w:val="1"/>
          <w:color w:val="auto"/>
        </w:rPr>
      </w:pPr>
    </w:p>
    <w:p>
      <w:pPr>
        <w:ind w:left="820" w:hanging="356"/>
        <w:spacing w:after="0"/>
        <w:tabs>
          <w:tab w:leader="none" w:pos="820" w:val="left"/>
        </w:tabs>
        <w:numPr>
          <w:ilvl w:val="1"/>
          <w:numId w:val="160"/>
        </w:numPr>
        <w:rPr>
          <w:rFonts w:ascii="Arial" w:cs="Arial" w:eastAsia="Arial" w:hAnsi="Arial"/>
          <w:sz w:val="17"/>
          <w:szCs w:val="17"/>
          <w:b w:val="1"/>
          <w:bCs w:val="1"/>
          <w:color w:val="auto"/>
        </w:rPr>
      </w:pPr>
      <w:r>
        <w:rPr>
          <w:rFonts w:ascii="Arial" w:cs="Arial" w:eastAsia="Arial" w:hAnsi="Arial"/>
          <w:sz w:val="17"/>
          <w:szCs w:val="17"/>
          <w:color w:val="auto"/>
        </w:rPr>
        <w:t>4,187,698 of the authorized shares of Preferred Stock are hereby designated “Series A-2 Preferred Stock” (the “</w:t>
      </w:r>
      <w:r>
        <w:rPr>
          <w:rFonts w:ascii="Arial" w:cs="Arial" w:eastAsia="Arial" w:hAnsi="Arial"/>
          <w:sz w:val="17"/>
          <w:szCs w:val="17"/>
          <w:b w:val="1"/>
          <w:bCs w:val="1"/>
          <w:i w:val="1"/>
          <w:iCs w:val="1"/>
          <w:color w:val="auto"/>
        </w:rPr>
        <w:t>Series A-2 Preferred</w:t>
      </w:r>
      <w:r>
        <w:rPr>
          <w:rFonts w:ascii="Arial" w:cs="Arial" w:eastAsia="Arial" w:hAnsi="Arial"/>
          <w:sz w:val="17"/>
          <w:szCs w:val="17"/>
          <w:color w:val="auto"/>
        </w:rPr>
        <w:t>”).</w:t>
      </w:r>
    </w:p>
    <w:p>
      <w:pPr>
        <w:spacing w:after="0" w:line="236" w:lineRule="exact"/>
        <w:rPr>
          <w:rFonts w:ascii="Arial" w:cs="Arial" w:eastAsia="Arial" w:hAnsi="Arial"/>
          <w:sz w:val="17"/>
          <w:szCs w:val="17"/>
          <w:b w:val="1"/>
          <w:bCs w:val="1"/>
          <w:color w:val="auto"/>
        </w:rPr>
      </w:pPr>
    </w:p>
    <w:p>
      <w:pPr>
        <w:ind w:right="280" w:firstLine="464"/>
        <w:spacing w:after="0" w:line="277" w:lineRule="auto"/>
        <w:tabs>
          <w:tab w:leader="none" w:pos="801"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7,589,537 of the authorized shares of Preferred Stock are hereby designated “Series B Preferred Stock” (the “</w:t>
      </w:r>
      <w:r>
        <w:rPr>
          <w:rFonts w:ascii="Arial" w:cs="Arial" w:eastAsia="Arial" w:hAnsi="Arial"/>
          <w:sz w:val="18"/>
          <w:szCs w:val="18"/>
          <w:b w:val="1"/>
          <w:bCs w:val="1"/>
          <w:i w:val="1"/>
          <w:iCs w:val="1"/>
          <w:color w:val="auto"/>
        </w:rPr>
        <w:t>Series B Preferred</w:t>
      </w:r>
      <w:r>
        <w:rPr>
          <w:rFonts w:ascii="Arial" w:cs="Arial" w:eastAsia="Arial" w:hAnsi="Arial"/>
          <w:sz w:val="18"/>
          <w:szCs w:val="18"/>
          <w:color w:val="auto"/>
        </w:rPr>
        <w:t>” and, together with the Series A-1 Preferred, and the Series A-2 Preferred, the “</w:t>
      </w:r>
      <w:r>
        <w:rPr>
          <w:rFonts w:ascii="Arial" w:cs="Arial" w:eastAsia="Arial" w:hAnsi="Arial"/>
          <w:sz w:val="18"/>
          <w:szCs w:val="18"/>
          <w:b w:val="1"/>
          <w:bCs w:val="1"/>
          <w:i w:val="1"/>
          <w:iCs w:val="1"/>
          <w:color w:val="auto"/>
        </w:rPr>
        <w:t>Series Preferred</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right="180" w:firstLine="464"/>
        <w:spacing w:after="0" w:line="277" w:lineRule="auto"/>
        <w:tabs>
          <w:tab w:leader="none" w:pos="775"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Upon the acceptance of this Amended and Restated Certificate of Incorporation (this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for filing with the Secretary of State of the State of Delaware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jc w:val="both"/>
        <w:ind w:right="100" w:firstLine="921"/>
        <w:spacing w:after="0" w:line="291" w:lineRule="auto"/>
        <w:tabs>
          <w:tab w:leader="none" w:pos="1228" w:val="left"/>
        </w:tabs>
        <w:numPr>
          <w:ilvl w:val="2"/>
          <w:numId w:val="160"/>
        </w:numPr>
        <w:rPr>
          <w:rFonts w:ascii="Arial" w:cs="Arial" w:eastAsia="Arial" w:hAnsi="Arial"/>
          <w:sz w:val="16"/>
          <w:szCs w:val="16"/>
          <w:b w:val="1"/>
          <w:bCs w:val="1"/>
          <w:color w:val="auto"/>
        </w:rPr>
      </w:pPr>
      <w:r>
        <w:rPr>
          <w:rFonts w:ascii="Arial" w:cs="Arial" w:eastAsia="Arial" w:hAnsi="Arial"/>
          <w:sz w:val="16"/>
          <w:szCs w:val="16"/>
          <w:color w:val="auto"/>
        </w:rPr>
        <w:t>Each 7.75 shares of Common Stock issued and outstanding shall, automatically and without any action on the part of the respective holders thereof and whether or not the certificates representing such shares are surrendered to the Company or its transfer agent, be combined and converted into one</w:t>
      </w:r>
    </w:p>
    <w:p>
      <w:pPr>
        <w:ind w:firstLine="8"/>
        <w:spacing w:after="0" w:line="254"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share of Common Stock. All shares of Common Stock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Common Stock (after giving effect to the foregoing reverse stock split) as determined by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40" w:firstLine="921"/>
        <w:spacing w:after="0" w:line="255" w:lineRule="auto"/>
        <w:tabs>
          <w:tab w:leader="none" w:pos="1228" w:val="left"/>
        </w:tabs>
        <w:numPr>
          <w:ilvl w:val="2"/>
          <w:numId w:val="161"/>
        </w:numPr>
        <w:rPr>
          <w:rFonts w:ascii="Arial" w:cs="Arial" w:eastAsia="Arial" w:hAnsi="Arial"/>
          <w:sz w:val="18"/>
          <w:szCs w:val="18"/>
          <w:b w:val="1"/>
          <w:bCs w:val="1"/>
          <w:color w:val="auto"/>
        </w:rPr>
      </w:pPr>
      <w:r>
        <w:rPr>
          <w:rFonts w:ascii="Arial" w:cs="Arial" w:eastAsia="Arial" w:hAnsi="Arial"/>
          <w:sz w:val="18"/>
          <w:szCs w:val="18"/>
          <w:color w:val="auto"/>
        </w:rPr>
        <w:t>Each 7.75 shares of Series A-1 Preferred issued and outstanding shall, automatically and without any action on the part of the respective holders thereof and whether or not the certificates representing such shares are surrendered to the Company or its transfer agent, be combined and converted into one (1) share of Series A-1 Preferred. All shares of Series A-1 Preferred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Series A-1 Preferred (after giving effect to the foregoing reverse stock split) as determined by the Board.</w:t>
      </w:r>
    </w:p>
    <w:p>
      <w:pPr>
        <w:spacing w:after="0" w:line="193" w:lineRule="exact"/>
        <w:rPr>
          <w:rFonts w:ascii="Arial" w:cs="Arial" w:eastAsia="Arial" w:hAnsi="Arial"/>
          <w:sz w:val="18"/>
          <w:szCs w:val="18"/>
          <w:b w:val="1"/>
          <w:bCs w:val="1"/>
          <w:color w:val="auto"/>
        </w:rPr>
      </w:pPr>
    </w:p>
    <w:p>
      <w:pPr>
        <w:ind w:right="40" w:firstLine="921"/>
        <w:spacing w:after="0" w:line="255" w:lineRule="auto"/>
        <w:tabs>
          <w:tab w:leader="none" w:pos="1228" w:val="left"/>
        </w:tabs>
        <w:numPr>
          <w:ilvl w:val="2"/>
          <w:numId w:val="161"/>
        </w:numPr>
        <w:rPr>
          <w:rFonts w:ascii="Arial" w:cs="Arial" w:eastAsia="Arial" w:hAnsi="Arial"/>
          <w:sz w:val="18"/>
          <w:szCs w:val="18"/>
          <w:b w:val="1"/>
          <w:bCs w:val="1"/>
          <w:color w:val="auto"/>
        </w:rPr>
      </w:pPr>
      <w:r>
        <w:rPr>
          <w:rFonts w:ascii="Arial" w:cs="Arial" w:eastAsia="Arial" w:hAnsi="Arial"/>
          <w:sz w:val="18"/>
          <w:szCs w:val="18"/>
          <w:color w:val="auto"/>
        </w:rPr>
        <w:t>Each 7.75 shares of Series A-2 Preferred issued and outstanding shall, automatically and without any action on the part of the respective holders thereof and whether or not the certificates representing such shares are surrendered to the Company or its transfer agent, be combined and converted into one (1) share of Series A-2 Preferred. All shares of Series A-2 Preferred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Series A-2 Preferred (after giving effect to the foregoing reverse stock split) as determined by the Board.</w:t>
      </w:r>
    </w:p>
    <w:p>
      <w:pPr>
        <w:spacing w:after="0" w:line="193" w:lineRule="exact"/>
        <w:rPr>
          <w:rFonts w:ascii="Arial" w:cs="Arial" w:eastAsia="Arial" w:hAnsi="Arial"/>
          <w:sz w:val="18"/>
          <w:szCs w:val="18"/>
          <w:b w:val="1"/>
          <w:bCs w:val="1"/>
          <w:color w:val="auto"/>
        </w:rPr>
      </w:pPr>
    </w:p>
    <w:p>
      <w:pPr>
        <w:ind w:right="540" w:firstLine="921"/>
        <w:spacing w:after="0" w:line="308" w:lineRule="auto"/>
        <w:tabs>
          <w:tab w:leader="none" w:pos="1228" w:val="left"/>
        </w:tabs>
        <w:numPr>
          <w:ilvl w:val="2"/>
          <w:numId w:val="161"/>
        </w:numPr>
        <w:rPr>
          <w:rFonts w:ascii="Arial" w:cs="Arial" w:eastAsia="Arial" w:hAnsi="Arial"/>
          <w:sz w:val="17"/>
          <w:szCs w:val="17"/>
          <w:b w:val="1"/>
          <w:bCs w:val="1"/>
          <w:color w:val="auto"/>
        </w:rPr>
      </w:pPr>
      <w:r>
        <w:rPr>
          <w:rFonts w:ascii="Arial" w:cs="Arial" w:eastAsia="Arial" w:hAnsi="Arial"/>
          <w:sz w:val="17"/>
          <w:szCs w:val="17"/>
          <w:color w:val="auto"/>
        </w:rPr>
        <w:t>Each 7.75 shares of Series B Preferred issued and outstanding shall, automatically and without any action on the part of the respective holders thereof and whether or not the certificates representing such shares are surrendered to the Company or its transfer agent,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44" w:name="page245"/>
    <w:bookmarkEnd w:id="244"/>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combined and converted into one (1) share of Series B Preferred. All shares of Series B Preferred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Series B Preferred (after giving effect to the foregoing reverse stock split) as determined by the Board.</w:t>
      </w:r>
    </w:p>
    <w:p>
      <w:pPr>
        <w:spacing w:after="0" w:line="187" w:lineRule="exact"/>
        <w:rPr>
          <w:sz w:val="20"/>
          <w:szCs w:val="20"/>
          <w:color w:val="auto"/>
        </w:rPr>
      </w:pPr>
    </w:p>
    <w:p>
      <w:pPr>
        <w:ind w:right="140" w:firstLine="464"/>
        <w:spacing w:after="0" w:line="277" w:lineRule="auto"/>
        <w:tabs>
          <w:tab w:leader="none" w:pos="818"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The splits made pursuant to subsections 1-4 above are referred to herein as the “</w:t>
      </w:r>
      <w:r>
        <w:rPr>
          <w:rFonts w:ascii="Arial" w:cs="Arial" w:eastAsia="Arial" w:hAnsi="Arial"/>
          <w:sz w:val="18"/>
          <w:szCs w:val="18"/>
          <w:b w:val="1"/>
          <w:bCs w:val="1"/>
          <w:i w:val="1"/>
          <w:iCs w:val="1"/>
          <w:color w:val="auto"/>
        </w:rPr>
        <w:t>Reverse Stock Split</w:t>
      </w:r>
      <w:r>
        <w:rPr>
          <w:rFonts w:ascii="Arial" w:cs="Arial" w:eastAsia="Arial" w:hAnsi="Arial"/>
          <w:sz w:val="18"/>
          <w:szCs w:val="18"/>
          <w:color w:val="auto"/>
        </w:rPr>
        <w:t>.” Unless otherwise specifically noted in this Restated Certificate, all share numbers and prices per share have been adjusted to reflect the Reverse Stock Split.</w:t>
      </w:r>
    </w:p>
    <w:p>
      <w:pPr>
        <w:spacing w:after="0" w:line="170" w:lineRule="exact"/>
        <w:rPr>
          <w:rFonts w:ascii="Arial" w:cs="Arial" w:eastAsia="Arial" w:hAnsi="Arial"/>
          <w:sz w:val="18"/>
          <w:szCs w:val="18"/>
          <w:b w:val="1"/>
          <w:bCs w:val="1"/>
          <w:color w:val="auto"/>
        </w:rPr>
      </w:pPr>
    </w:p>
    <w:p>
      <w:pPr>
        <w:ind w:left="820" w:hanging="356"/>
        <w:spacing w:after="0"/>
        <w:tabs>
          <w:tab w:leader="none" w:pos="82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The rights, preferences, privileges, restrictions and other matters relating to the Series Preferred are as follows:</w:t>
      </w:r>
    </w:p>
    <w:p>
      <w:pPr>
        <w:spacing w:after="0" w:line="369"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IVIDEND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 w:firstLine="1492"/>
        <w:spacing w:after="0" w:line="272" w:lineRule="auto"/>
        <w:tabs>
          <w:tab w:leader="none" w:pos="1873" w:val="left"/>
        </w:tabs>
        <w:numPr>
          <w:ilvl w:val="2"/>
          <w:numId w:val="162"/>
        </w:numPr>
        <w:rPr>
          <w:rFonts w:ascii="Arial" w:cs="Arial" w:eastAsia="Arial" w:hAnsi="Arial"/>
          <w:sz w:val="17"/>
          <w:szCs w:val="17"/>
          <w:b w:val="1"/>
          <w:bCs w:val="1"/>
          <w:color w:val="auto"/>
        </w:rPr>
      </w:pPr>
      <w:r>
        <w:rPr>
          <w:rFonts w:ascii="Arial" w:cs="Arial" w:eastAsia="Arial" w:hAnsi="Arial"/>
          <w:sz w:val="17"/>
          <w:szCs w:val="17"/>
          <w:color w:val="auto"/>
        </w:rPr>
        <w:t>Holders of Series Preferred, on a pari passu basis with the holders of Common Stock, shall be entitled to receive but only out of funds that are legally available therefor, dividends at the rate of eight percent (8%) of the Applicable Original Issue Price (as defined below) per annum on each outstanding share of Series Preferred (as adjusted for any stock dividends, combinations, splits, recapitalizations and the like with respect to such shares after the Effective Time) in proportion to the greatest whole number of shares of Common Stock which would be held by each such holder if all shares of Series Preferred were converted at the then-effective Applicable Series Preferred Conversion Rate. Such dividends shall be payable only when, as and if declared by the Board and shall be non-cumulative. No dividends shall be declared or paid to the holders of Common Stock unless dividends on the Series Preferred have been declared or set aside for payment.</w:t>
      </w:r>
    </w:p>
    <w:p>
      <w:pPr>
        <w:spacing w:after="0" w:line="177" w:lineRule="exact"/>
        <w:rPr>
          <w:rFonts w:ascii="Arial" w:cs="Arial" w:eastAsia="Arial" w:hAnsi="Arial"/>
          <w:sz w:val="17"/>
          <w:szCs w:val="17"/>
          <w:b w:val="1"/>
          <w:bCs w:val="1"/>
          <w:color w:val="auto"/>
        </w:rPr>
      </w:pPr>
    </w:p>
    <w:p>
      <w:pPr>
        <w:ind w:right="20" w:firstLine="1492"/>
        <w:spacing w:after="0" w:line="277" w:lineRule="auto"/>
        <w:tabs>
          <w:tab w:leader="none" w:pos="1880" w:val="left"/>
        </w:tabs>
        <w:numPr>
          <w:ilvl w:val="2"/>
          <w:numId w:val="162"/>
        </w:numPr>
        <w:rPr>
          <w:rFonts w:ascii="Arial" w:cs="Arial" w:eastAsia="Arial" w:hAnsi="Arial"/>
          <w:sz w:val="18"/>
          <w:szCs w:val="18"/>
          <w:b w:val="1"/>
          <w:bCs w:val="1"/>
          <w:color w:val="auto"/>
        </w:rPr>
      </w:pPr>
      <w:r>
        <w:rPr>
          <w:rFonts w:ascii="Arial" w:cs="Arial" w:eastAsia="Arial" w:hAnsi="Arial"/>
          <w:sz w:val="18"/>
          <w:szCs w:val="18"/>
          <w:color w:val="auto"/>
        </w:rPr>
        <w:t>Whenever a dividend provided for in this Section 1 shall be payable in property other than cash, the value of such dividend shall be deemed to be the fair market value of such property as determined in good faith by the Board.</w:t>
      </w:r>
    </w:p>
    <w:p>
      <w:pPr>
        <w:spacing w:after="0" w:line="315"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firstLine="1492"/>
        <w:spacing w:after="0" w:line="274" w:lineRule="auto"/>
        <w:tabs>
          <w:tab w:leader="none" w:pos="1873" w:val="left"/>
        </w:tabs>
        <w:numPr>
          <w:ilvl w:val="2"/>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Rights. </w:t>
      </w:r>
      <w:r>
        <w:rPr>
          <w:rFonts w:ascii="Arial" w:cs="Arial" w:eastAsia="Arial" w:hAnsi="Arial"/>
          <w:sz w:val="17"/>
          <w:szCs w:val="17"/>
          <w:color w:val="auto"/>
        </w:rPr>
        <w:t>Each holder of shares of the Series Preferred shall be entitled to the number of votes equal to the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Common Stock into which such shares of Series Preferred could be converted (pursuant to Section 4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Except as otherwise provided herein or as required by law, the Series Preferred shall vote together with the Common Stock at any annual or special meeting of the stockholders and not as a separate class, and may act by written consent in the same manner as the Common Stock.</w:t>
      </w:r>
    </w:p>
    <w:p>
      <w:pPr>
        <w:spacing w:after="0" w:line="173" w:lineRule="exact"/>
        <w:rPr>
          <w:rFonts w:ascii="Arial" w:cs="Arial" w:eastAsia="Arial" w:hAnsi="Arial"/>
          <w:sz w:val="17"/>
          <w:szCs w:val="17"/>
          <w:b w:val="1"/>
          <w:bCs w:val="1"/>
          <w:color w:val="auto"/>
        </w:rPr>
      </w:pPr>
    </w:p>
    <w:p>
      <w:pPr>
        <w:ind w:right="60" w:firstLine="1492"/>
        <w:spacing w:after="0" w:line="282" w:lineRule="auto"/>
        <w:tabs>
          <w:tab w:leader="none" w:pos="1883" w:val="left"/>
        </w:tabs>
        <w:numPr>
          <w:ilvl w:val="2"/>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Separate Vote of Series Preferred. </w:t>
      </w:r>
      <w:r>
        <w:rPr>
          <w:rFonts w:ascii="Arial" w:cs="Arial" w:eastAsia="Arial" w:hAnsi="Arial"/>
          <w:sz w:val="18"/>
          <w:szCs w:val="18"/>
          <w:color w:val="auto"/>
        </w:rPr>
        <w:t>For so long as any shares of Series Preferred remain outstanding, in addition to any other vote</w:t>
      </w:r>
      <w:r>
        <w:rPr>
          <w:rFonts w:ascii="Arial" w:cs="Arial" w:eastAsia="Arial" w:hAnsi="Arial"/>
          <w:sz w:val="18"/>
          <w:szCs w:val="18"/>
          <w:b w:val="1"/>
          <w:bCs w:val="1"/>
          <w:color w:val="auto"/>
        </w:rPr>
        <w:t xml:space="preserve"> </w:t>
      </w:r>
      <w:r>
        <w:rPr>
          <w:rFonts w:ascii="Arial" w:cs="Arial" w:eastAsia="Arial" w:hAnsi="Arial"/>
          <w:sz w:val="18"/>
          <w:szCs w:val="18"/>
          <w:color w:val="auto"/>
        </w:rPr>
        <w:t>or consent required herein or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45" w:name="page246"/>
    <w:bookmarkEnd w:id="245"/>
    <w:p>
      <w:pPr>
        <w:jc w:val="both"/>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by law, the vote or written consent of the holders of a majority of the outstanding Series Preferred, voting together as a single class on an as-if-converted basis, shall be necessary for effecting or validating the following actions (whether by merger, recapitalization or otherwise), any such act or transactions effected without such approval being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w:t>
      </w:r>
    </w:p>
    <w:p>
      <w:pPr>
        <w:spacing w:after="0" w:line="181" w:lineRule="exact"/>
        <w:rPr>
          <w:sz w:val="20"/>
          <w:szCs w:val="20"/>
          <w:color w:val="auto"/>
        </w:rPr>
      </w:pPr>
    </w:p>
    <w:p>
      <w:pPr>
        <w:jc w:val="both"/>
        <w:ind w:firstLine="1948"/>
        <w:spacing w:after="0" w:line="264" w:lineRule="auto"/>
        <w:tabs>
          <w:tab w:leader="none" w:pos="2280"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t>Any authorization or any designation of any new class or series of stock or any other securities convertible into a new class or series of stock of the Company ranking on parity with or senior to the Series Preferred in right of redemption, liquidation preference, voting, dividend or other rights or any increase in the authorized or designated number of any such class or series;</w:t>
      </w:r>
    </w:p>
    <w:p>
      <w:pPr>
        <w:spacing w:after="0" w:line="181" w:lineRule="exact"/>
        <w:rPr>
          <w:rFonts w:ascii="Arial" w:cs="Arial" w:eastAsia="Arial" w:hAnsi="Arial"/>
          <w:sz w:val="18"/>
          <w:szCs w:val="18"/>
          <w:b w:val="1"/>
          <w:bCs w:val="1"/>
          <w:color w:val="auto"/>
        </w:rPr>
      </w:pPr>
    </w:p>
    <w:p>
      <w:pPr>
        <w:ind w:left="2340" w:hanging="392"/>
        <w:spacing w:after="0"/>
        <w:tabs>
          <w:tab w:leader="none" w:pos="2340"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t>Any declaration or payment of dividends with respect to Common Stock or Preferred Stock;</w:t>
      </w:r>
    </w:p>
    <w:p>
      <w:pPr>
        <w:spacing w:after="0" w:line="225" w:lineRule="exact"/>
        <w:rPr>
          <w:rFonts w:ascii="Arial" w:cs="Arial" w:eastAsia="Arial" w:hAnsi="Arial"/>
          <w:sz w:val="18"/>
          <w:szCs w:val="18"/>
          <w:b w:val="1"/>
          <w:bCs w:val="1"/>
          <w:color w:val="auto"/>
        </w:rPr>
      </w:pPr>
    </w:p>
    <w:p>
      <w:pPr>
        <w:ind w:left="2380" w:hanging="432"/>
        <w:spacing w:after="0"/>
        <w:tabs>
          <w:tab w:leader="none" w:pos="2380" w:val="left"/>
        </w:tabs>
        <w:numPr>
          <w:ilvl w:val="1"/>
          <w:numId w:val="163"/>
        </w:numPr>
        <w:rPr>
          <w:rFonts w:ascii="Arial" w:cs="Arial" w:eastAsia="Arial" w:hAnsi="Arial"/>
          <w:sz w:val="17"/>
          <w:szCs w:val="17"/>
          <w:b w:val="1"/>
          <w:bCs w:val="1"/>
          <w:color w:val="auto"/>
        </w:rPr>
      </w:pPr>
      <w:r>
        <w:rPr>
          <w:rFonts w:ascii="Arial" w:cs="Arial" w:eastAsia="Arial" w:hAnsi="Arial"/>
          <w:sz w:val="17"/>
          <w:szCs w:val="17"/>
          <w:color w:val="auto"/>
        </w:rPr>
        <w:t>Any authorization or agreement by the Company or its stockholders regarding an Asset Transfer or Acquisition (each as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defined in Section 3 hereof);</w:t>
      </w:r>
    </w:p>
    <w:p>
      <w:pPr>
        <w:spacing w:after="0" w:line="210" w:lineRule="exact"/>
        <w:rPr>
          <w:rFonts w:ascii="Arial" w:cs="Arial" w:eastAsia="Arial" w:hAnsi="Arial"/>
          <w:sz w:val="17"/>
          <w:szCs w:val="17"/>
          <w:b w:val="1"/>
          <w:bCs w:val="1"/>
          <w:color w:val="auto"/>
        </w:rPr>
      </w:pPr>
    </w:p>
    <w:p>
      <w:pPr>
        <w:ind w:left="2380" w:hanging="432"/>
        <w:spacing w:after="0"/>
        <w:tabs>
          <w:tab w:leader="none" w:pos="2380"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t>Any voluntary dissolution or liquidation of the Company;</w:t>
      </w:r>
    </w:p>
    <w:p>
      <w:pPr>
        <w:spacing w:after="0" w:line="225" w:lineRule="exact"/>
        <w:rPr>
          <w:rFonts w:ascii="Arial" w:cs="Arial" w:eastAsia="Arial" w:hAnsi="Arial"/>
          <w:sz w:val="18"/>
          <w:szCs w:val="18"/>
          <w:b w:val="1"/>
          <w:bCs w:val="1"/>
          <w:color w:val="auto"/>
        </w:rPr>
      </w:pPr>
    </w:p>
    <w:p>
      <w:pPr>
        <w:ind w:left="2320" w:hanging="372"/>
        <w:spacing w:after="0"/>
        <w:tabs>
          <w:tab w:leader="none" w:pos="2320"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Company’s Board;</w:t>
      </w:r>
    </w:p>
    <w:p>
      <w:pPr>
        <w:spacing w:after="0" w:line="225" w:lineRule="exact"/>
        <w:rPr>
          <w:rFonts w:ascii="Arial" w:cs="Arial" w:eastAsia="Arial" w:hAnsi="Arial"/>
          <w:sz w:val="18"/>
          <w:szCs w:val="18"/>
          <w:b w:val="1"/>
          <w:bCs w:val="1"/>
          <w:color w:val="auto"/>
        </w:rPr>
      </w:pPr>
    </w:p>
    <w:p>
      <w:pPr>
        <w:ind w:left="2380" w:hanging="432"/>
        <w:spacing w:after="0"/>
        <w:tabs>
          <w:tab w:leader="none" w:pos="2380"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t>Incur indebtedness in excess of $10,000,000;</w:t>
      </w:r>
    </w:p>
    <w:p>
      <w:pPr>
        <w:spacing w:after="0" w:line="225" w:lineRule="exact"/>
        <w:rPr>
          <w:rFonts w:ascii="Arial" w:cs="Arial" w:eastAsia="Arial" w:hAnsi="Arial"/>
          <w:sz w:val="18"/>
          <w:szCs w:val="18"/>
          <w:b w:val="1"/>
          <w:bCs w:val="1"/>
          <w:color w:val="auto"/>
        </w:rPr>
      </w:pPr>
    </w:p>
    <w:p>
      <w:pPr>
        <w:ind w:left="2440" w:hanging="492"/>
        <w:spacing w:after="0"/>
        <w:tabs>
          <w:tab w:leader="none" w:pos="2440" w:val="left"/>
        </w:tabs>
        <w:numPr>
          <w:ilvl w:val="1"/>
          <w:numId w:val="163"/>
        </w:numPr>
        <w:rPr>
          <w:rFonts w:ascii="Arial" w:cs="Arial" w:eastAsia="Arial" w:hAnsi="Arial"/>
          <w:sz w:val="16"/>
          <w:szCs w:val="16"/>
          <w:b w:val="1"/>
          <w:bCs w:val="1"/>
          <w:color w:val="auto"/>
        </w:rPr>
      </w:pPr>
      <w:r>
        <w:rPr>
          <w:rFonts w:ascii="Arial" w:cs="Arial" w:eastAsia="Arial" w:hAnsi="Arial"/>
          <w:sz w:val="16"/>
          <w:szCs w:val="16"/>
          <w:color w:val="auto"/>
        </w:rPr>
        <w:t>Sell or transfer the Company’s material intellectual property (other than ordinary course transfers approved by the Board);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b w:val="1"/>
          <w:bCs w:val="1"/>
          <w:color w:val="auto"/>
        </w:rPr>
      </w:pPr>
    </w:p>
    <w:p>
      <w:pPr>
        <w:jc w:val="both"/>
        <w:ind w:right="100" w:firstLine="1948"/>
        <w:spacing w:after="0" w:line="312" w:lineRule="auto"/>
        <w:tabs>
          <w:tab w:leader="none" w:pos="2470" w:val="left"/>
        </w:tabs>
        <w:numPr>
          <w:ilvl w:val="1"/>
          <w:numId w:val="163"/>
        </w:numPr>
        <w:rPr>
          <w:rFonts w:ascii="Arial" w:cs="Arial" w:eastAsia="Arial" w:hAnsi="Arial"/>
          <w:sz w:val="16"/>
          <w:szCs w:val="16"/>
          <w:b w:val="1"/>
          <w:bCs w:val="1"/>
          <w:color w:val="auto"/>
        </w:rPr>
      </w:pPr>
      <w:r>
        <w:rPr>
          <w:rFonts w:ascii="Arial" w:cs="Arial" w:eastAsia="Arial" w:hAnsi="Arial"/>
          <w:sz w:val="16"/>
          <w:szCs w:val="16"/>
          <w:color w:val="auto"/>
        </w:rPr>
        <w:t>Any redemption, repurchase, payment or declaration of dividends or other distributions with respect to Common Stock or Preferred Stock (except for (i) acquisitions of Common Stock by the Company pursuant to agreements that permit the Company to repurchase such shares at no more than cost upon termination of services to the Company or (ii) distributions to holders of Common Stock in accordance with Section 3).</w:t>
      </w:r>
    </w:p>
    <w:p>
      <w:pPr>
        <w:spacing w:after="0" w:line="142" w:lineRule="exact"/>
        <w:rPr>
          <w:rFonts w:ascii="Arial" w:cs="Arial" w:eastAsia="Arial" w:hAnsi="Arial"/>
          <w:sz w:val="16"/>
          <w:szCs w:val="16"/>
          <w:b w:val="1"/>
          <w:bCs w:val="1"/>
          <w:color w:val="auto"/>
        </w:rPr>
      </w:pPr>
    </w:p>
    <w:p>
      <w:pPr>
        <w:ind w:right="120" w:firstLine="1492"/>
        <w:spacing w:after="0" w:line="261" w:lineRule="auto"/>
        <w:tabs>
          <w:tab w:leader="none" w:pos="1863"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Separate Vote of Series A-1 Preferred. </w:t>
      </w:r>
      <w:r>
        <w:rPr>
          <w:rFonts w:ascii="Arial" w:cs="Arial" w:eastAsia="Arial" w:hAnsi="Arial"/>
          <w:sz w:val="18"/>
          <w:szCs w:val="18"/>
          <w:color w:val="auto"/>
        </w:rPr>
        <w:t>For so long as any shares of Series A-1 Preferred remain outstanding, in addition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vote or consent required herein or by law, the vote or written consent of the holders of at least 66 2/3% of the outstanding Series A-1 Preferred shall be necessary for effecting or validating the following actions (whether by merger, recapitalization or otherwise), any such act or transactions effected without such approval being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w:t>
      </w:r>
    </w:p>
    <w:p>
      <w:pPr>
        <w:spacing w:after="0" w:line="184" w:lineRule="exact"/>
        <w:rPr>
          <w:rFonts w:ascii="Arial" w:cs="Arial" w:eastAsia="Arial" w:hAnsi="Arial"/>
          <w:sz w:val="18"/>
          <w:szCs w:val="18"/>
          <w:b w:val="1"/>
          <w:bCs w:val="1"/>
          <w:color w:val="auto"/>
        </w:rPr>
      </w:pPr>
    </w:p>
    <w:p>
      <w:pPr>
        <w:ind w:firstLine="1948"/>
        <w:spacing w:after="0" w:line="259" w:lineRule="auto"/>
        <w:tabs>
          <w:tab w:leader="none" w:pos="2280"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Any amendment, alteration, repeal or waiver of any provision of the Certificate of Incorporation or Bylaws of the Company in a manner that adversely affects the powers, rights, preferences or privileges of the Series A-1 Preferred in a manner that is different from the effect on the powers, rights, preferences and privileges of all other series of Preferred Stock, provided that a senior or pari passu equity financing or debt financing shall not be deemed to cause an adverse change to the Series A-1 Preferred;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46" w:name="page247"/>
    <w:bookmarkEnd w:id="246"/>
    <w:p>
      <w:pPr>
        <w:ind w:right="140" w:firstLine="1948"/>
        <w:spacing w:after="0" w:line="277" w:lineRule="auto"/>
        <w:tabs>
          <w:tab w:leader="none" w:pos="2340"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the Effective Time, any authorization or issuance of shares of Series A-1 Preferred or any increase or decrease in the authorized number of shares of Series A-1 Preferred;</w:t>
      </w:r>
    </w:p>
    <w:p>
      <w:pPr>
        <w:spacing w:after="0" w:line="170" w:lineRule="exact"/>
        <w:rPr>
          <w:rFonts w:ascii="Arial" w:cs="Arial" w:eastAsia="Arial" w:hAnsi="Arial"/>
          <w:sz w:val="18"/>
          <w:szCs w:val="18"/>
          <w:b w:val="1"/>
          <w:bCs w:val="1"/>
          <w:color w:val="auto"/>
        </w:rPr>
      </w:pPr>
    </w:p>
    <w:p>
      <w:pPr>
        <w:ind w:right="220" w:firstLine="1948"/>
        <w:spacing w:after="0" w:line="277" w:lineRule="auto"/>
        <w:tabs>
          <w:tab w:leader="none" w:pos="2380"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Any authorization or amendment of any provision of the Certificate of Incorporation amending any of the requisite voting thresholds for the Series A-1 Preferred in which the Series A-1 Preferred vote as a single class; or</w:t>
      </w:r>
    </w:p>
    <w:p>
      <w:pPr>
        <w:spacing w:after="0" w:line="170" w:lineRule="exact"/>
        <w:rPr>
          <w:rFonts w:ascii="Arial" w:cs="Arial" w:eastAsia="Arial" w:hAnsi="Arial"/>
          <w:sz w:val="18"/>
          <w:szCs w:val="18"/>
          <w:b w:val="1"/>
          <w:bCs w:val="1"/>
          <w:color w:val="auto"/>
        </w:rPr>
      </w:pPr>
    </w:p>
    <w:p>
      <w:pPr>
        <w:ind w:right="40" w:firstLine="1948"/>
        <w:spacing w:after="0" w:line="277" w:lineRule="auto"/>
        <w:tabs>
          <w:tab w:leader="none" w:pos="2370"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Any waiver of whether any Asset Transfer or Acquisition (each as defined below) shall be deemed to be a Liquidation Event (as defined below) or the treatment of any transaction or series of related transactions as an Asset Transfer or Acquisition.</w:t>
      </w:r>
    </w:p>
    <w:p>
      <w:pPr>
        <w:spacing w:after="0" w:line="166" w:lineRule="exact"/>
        <w:rPr>
          <w:rFonts w:ascii="Arial" w:cs="Arial" w:eastAsia="Arial" w:hAnsi="Arial"/>
          <w:sz w:val="18"/>
          <w:szCs w:val="18"/>
          <w:b w:val="1"/>
          <w:bCs w:val="1"/>
          <w:color w:val="auto"/>
        </w:rPr>
      </w:pPr>
    </w:p>
    <w:p>
      <w:pPr>
        <w:ind w:right="120" w:firstLine="1492"/>
        <w:spacing w:after="0" w:line="261" w:lineRule="auto"/>
        <w:tabs>
          <w:tab w:leader="none" w:pos="1883"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Separate Vote of Series A-2 Preferred. </w:t>
      </w:r>
      <w:r>
        <w:rPr>
          <w:rFonts w:ascii="Arial" w:cs="Arial" w:eastAsia="Arial" w:hAnsi="Arial"/>
          <w:sz w:val="18"/>
          <w:szCs w:val="18"/>
          <w:color w:val="auto"/>
        </w:rPr>
        <w:t>For so long as any shares of Series A-2 Preferred remain outstanding, in addition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vote or consent required herein or by law, the vote or written consent of the holders of at least 66 2/3% of the outstanding Series A-2 Preferred shall be necessary for effecting or validating the following actions (whether by merger, recapitalization or otherwise), any such act or transactions effected without such approval being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w:t>
      </w:r>
    </w:p>
    <w:p>
      <w:pPr>
        <w:spacing w:after="0" w:line="184" w:lineRule="exact"/>
        <w:rPr>
          <w:rFonts w:ascii="Arial" w:cs="Arial" w:eastAsia="Arial" w:hAnsi="Arial"/>
          <w:sz w:val="18"/>
          <w:szCs w:val="18"/>
          <w:b w:val="1"/>
          <w:bCs w:val="1"/>
          <w:color w:val="auto"/>
        </w:rPr>
      </w:pPr>
    </w:p>
    <w:p>
      <w:pPr>
        <w:ind w:firstLine="1948"/>
        <w:spacing w:after="0" w:line="259" w:lineRule="auto"/>
        <w:tabs>
          <w:tab w:leader="none" w:pos="2280"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Any amendment, alteration, repeal or waiver of any provision of the Certificate of Incorporation or Bylaws of the Company in a manner that adversely affects the powers, rights, preferences or privileges of the Series A-2 Preferred in a manner that is different from the effect on the powers, rights, preferences and privileges of all other series of Preferred Stock, provided that a senior or pari passu equity financing or debt financing shall not be deemed to cause an adverse change to the Series A-2 Preferred;</w:t>
      </w:r>
    </w:p>
    <w:p>
      <w:pPr>
        <w:spacing w:after="0" w:line="186" w:lineRule="exact"/>
        <w:rPr>
          <w:rFonts w:ascii="Arial" w:cs="Arial" w:eastAsia="Arial" w:hAnsi="Arial"/>
          <w:sz w:val="18"/>
          <w:szCs w:val="18"/>
          <w:b w:val="1"/>
          <w:bCs w:val="1"/>
          <w:color w:val="auto"/>
        </w:rPr>
      </w:pPr>
    </w:p>
    <w:p>
      <w:pPr>
        <w:ind w:right="140" w:firstLine="1948"/>
        <w:spacing w:after="0" w:line="277" w:lineRule="auto"/>
        <w:tabs>
          <w:tab w:leader="none" w:pos="2340"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Following the Effective Time, any authorization or issuance of shares of Series A-2 Preferred or any increase or decrease in the authorized number of shares of Series A-2 Preferred;</w:t>
      </w:r>
    </w:p>
    <w:p>
      <w:pPr>
        <w:spacing w:after="0" w:line="170" w:lineRule="exact"/>
        <w:rPr>
          <w:rFonts w:ascii="Arial" w:cs="Arial" w:eastAsia="Arial" w:hAnsi="Arial"/>
          <w:sz w:val="18"/>
          <w:szCs w:val="18"/>
          <w:b w:val="1"/>
          <w:bCs w:val="1"/>
          <w:color w:val="auto"/>
        </w:rPr>
      </w:pPr>
    </w:p>
    <w:p>
      <w:pPr>
        <w:ind w:right="220" w:firstLine="1948"/>
        <w:spacing w:after="0" w:line="277" w:lineRule="auto"/>
        <w:tabs>
          <w:tab w:leader="none" w:pos="2380"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Any authorization or amendment of any provision of the Certificate of Incorporation amending any of the requisite voting thresholds for the Series A-2 Preferred in which the Series A-2 Preferred vote as a single class; or</w:t>
      </w:r>
    </w:p>
    <w:p>
      <w:pPr>
        <w:spacing w:after="0" w:line="170" w:lineRule="exact"/>
        <w:rPr>
          <w:rFonts w:ascii="Arial" w:cs="Arial" w:eastAsia="Arial" w:hAnsi="Arial"/>
          <w:sz w:val="18"/>
          <w:szCs w:val="18"/>
          <w:b w:val="1"/>
          <w:bCs w:val="1"/>
          <w:color w:val="auto"/>
        </w:rPr>
      </w:pPr>
    </w:p>
    <w:p>
      <w:pPr>
        <w:ind w:right="120" w:firstLine="1948"/>
        <w:spacing w:after="0" w:line="277" w:lineRule="auto"/>
        <w:tabs>
          <w:tab w:leader="none" w:pos="2370"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Any waiver of whether any Asset Transfer or Acquisition shall be deemed to be a Liquidation Event or the treatment of any transaction or series of related transactions as an Asset Transfer or Acquisition.</w:t>
      </w:r>
    </w:p>
    <w:p>
      <w:pPr>
        <w:spacing w:after="0" w:line="166" w:lineRule="exact"/>
        <w:rPr>
          <w:rFonts w:ascii="Arial" w:cs="Arial" w:eastAsia="Arial" w:hAnsi="Arial"/>
          <w:sz w:val="18"/>
          <w:szCs w:val="18"/>
          <w:b w:val="1"/>
          <w:bCs w:val="1"/>
          <w:color w:val="auto"/>
        </w:rPr>
      </w:pPr>
    </w:p>
    <w:p>
      <w:pPr>
        <w:ind w:right="140" w:firstLine="1492"/>
        <w:spacing w:after="0" w:line="261" w:lineRule="auto"/>
        <w:tabs>
          <w:tab w:leader="none" w:pos="1863"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Separate Vote of Series B Preferred. </w:t>
      </w:r>
      <w:r>
        <w:rPr>
          <w:rFonts w:ascii="Arial" w:cs="Arial" w:eastAsia="Arial" w:hAnsi="Arial"/>
          <w:sz w:val="18"/>
          <w:szCs w:val="18"/>
          <w:color w:val="auto"/>
        </w:rPr>
        <w:t>For so long as any shares of Series B Preferred remain outstanding, in addition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vote or consent required herein or by law, the vote or written consent of the holders of at least 75% of the outstanding Series B Preferred shall be necessary for effecting or validating the following actions (whether by merger, recapitalization or otherwise), any such act or transactions effected without such approval being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w:t>
      </w:r>
    </w:p>
    <w:p>
      <w:pPr>
        <w:spacing w:after="0" w:line="184" w:lineRule="exact"/>
        <w:rPr>
          <w:rFonts w:ascii="Arial" w:cs="Arial" w:eastAsia="Arial" w:hAnsi="Arial"/>
          <w:sz w:val="18"/>
          <w:szCs w:val="18"/>
          <w:b w:val="1"/>
          <w:bCs w:val="1"/>
          <w:color w:val="auto"/>
        </w:rPr>
      </w:pPr>
    </w:p>
    <w:p>
      <w:pPr>
        <w:ind w:left="2280" w:hanging="332"/>
        <w:spacing w:after="0"/>
        <w:tabs>
          <w:tab w:leader="none" w:pos="2280" w:val="left"/>
        </w:tabs>
        <w:numPr>
          <w:ilvl w:val="1"/>
          <w:numId w:val="166"/>
        </w:numPr>
        <w:rPr>
          <w:rFonts w:ascii="Arial" w:cs="Arial" w:eastAsia="Arial" w:hAnsi="Arial"/>
          <w:sz w:val="16"/>
          <w:szCs w:val="16"/>
          <w:b w:val="1"/>
          <w:bCs w:val="1"/>
          <w:color w:val="auto"/>
        </w:rPr>
      </w:pPr>
      <w:r>
        <w:rPr>
          <w:rFonts w:ascii="Arial" w:cs="Arial" w:eastAsia="Arial" w:hAnsi="Arial"/>
          <w:sz w:val="16"/>
          <w:szCs w:val="16"/>
          <w:color w:val="auto"/>
        </w:rPr>
        <w:t>Any amendment, alteration, repeal or waiver of any provision of the Certificate of Incorporation or Bylaws of the Company in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 manner that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47" w:name="page248"/>
    <w:bookmarkEnd w:id="247"/>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adversely affects the powers, rights, preferences or privileges of the Series B Preferred in a manner that is different from the effect on the powers, rights, preferences and privileges of all other series of Preferred Stock, provided that a senior or pari passu equity financing or debt financing shall not be deemed to cause an adverse change to the Series B Preferred;</w:t>
      </w:r>
    </w:p>
    <w:p>
      <w:pPr>
        <w:spacing w:after="0" w:line="181" w:lineRule="exact"/>
        <w:rPr>
          <w:sz w:val="20"/>
          <w:szCs w:val="20"/>
          <w:color w:val="auto"/>
        </w:rPr>
      </w:pPr>
    </w:p>
    <w:p>
      <w:pPr>
        <w:ind w:firstLine="1948"/>
        <w:spacing w:after="0" w:line="277" w:lineRule="auto"/>
        <w:tabs>
          <w:tab w:leader="none" w:pos="2340"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Following the Effective Time, any authorization or issuance of shares of Series B Preferred or any increase or decrease in the authorized number of shares of Series B Preferred;</w:t>
      </w:r>
    </w:p>
    <w:p>
      <w:pPr>
        <w:spacing w:after="0" w:line="170" w:lineRule="exact"/>
        <w:rPr>
          <w:rFonts w:ascii="Arial" w:cs="Arial" w:eastAsia="Arial" w:hAnsi="Arial"/>
          <w:sz w:val="18"/>
          <w:szCs w:val="18"/>
          <w:b w:val="1"/>
          <w:bCs w:val="1"/>
          <w:color w:val="auto"/>
        </w:rPr>
      </w:pPr>
    </w:p>
    <w:p>
      <w:pPr>
        <w:ind w:right="180" w:firstLine="1948"/>
        <w:spacing w:after="0" w:line="277" w:lineRule="auto"/>
        <w:tabs>
          <w:tab w:leader="none" w:pos="2380"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Any authorization or amendment of any provision of the Certificate of Incorporation amending any of the requisite voting thresholds for the Series B Preferred in which the Series B Preferred vote as a single class; or</w:t>
      </w:r>
    </w:p>
    <w:p>
      <w:pPr>
        <w:spacing w:after="0" w:line="170" w:lineRule="exact"/>
        <w:rPr>
          <w:rFonts w:ascii="Arial" w:cs="Arial" w:eastAsia="Arial" w:hAnsi="Arial"/>
          <w:sz w:val="18"/>
          <w:szCs w:val="18"/>
          <w:b w:val="1"/>
          <w:bCs w:val="1"/>
          <w:color w:val="auto"/>
        </w:rPr>
      </w:pPr>
    </w:p>
    <w:p>
      <w:pPr>
        <w:ind w:right="80" w:firstLine="1948"/>
        <w:spacing w:after="0" w:line="277" w:lineRule="auto"/>
        <w:tabs>
          <w:tab w:leader="none" w:pos="2370"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Any waiver of whether any Asset Transfer or Acquisition shall be deemed to be a Liquidation Event or the treatment of any transaction or series of related transactions as an Asset Transfer or Acquisition.</w:t>
      </w:r>
    </w:p>
    <w:p>
      <w:pPr>
        <w:spacing w:after="0" w:line="274" w:lineRule="exact"/>
        <w:rPr>
          <w:rFonts w:ascii="Arial" w:cs="Arial" w:eastAsia="Arial" w:hAnsi="Arial"/>
          <w:sz w:val="18"/>
          <w:szCs w:val="18"/>
          <w:b w:val="1"/>
          <w:bCs w:val="1"/>
          <w:color w:val="auto"/>
        </w:rPr>
      </w:pPr>
    </w:p>
    <w:p>
      <w:pPr>
        <w:ind w:left="1860" w:hanging="368"/>
        <w:spacing w:after="0"/>
        <w:tabs>
          <w:tab w:leader="none" w:pos="18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Board of Directors.</w:t>
      </w:r>
    </w:p>
    <w:p>
      <w:pPr>
        <w:spacing w:after="0" w:line="121" w:lineRule="exact"/>
        <w:rPr>
          <w:rFonts w:ascii="Arial" w:cs="Arial" w:eastAsia="Arial" w:hAnsi="Arial"/>
          <w:sz w:val="18"/>
          <w:szCs w:val="18"/>
          <w:b w:val="1"/>
          <w:bCs w:val="1"/>
          <w:color w:val="auto"/>
        </w:rPr>
      </w:pPr>
    </w:p>
    <w:p>
      <w:pPr>
        <w:ind w:right="140" w:firstLine="1948"/>
        <w:spacing w:after="0" w:line="259" w:lineRule="auto"/>
        <w:tabs>
          <w:tab w:leader="none" w:pos="2290"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For so long as any shares of Series Preferred remain outstanding, the holders of Series Preferred, voting as a separate class, shall be entitled to elect three (3) members of the Board at each meeting or pursuant to each consent of the Company’s stockholders for the election of directors, and to remove from office such directors in accordance with applicable law and to fill any vacancy caused by the resignation, death or removal of such directors.</w:t>
      </w:r>
    </w:p>
    <w:p>
      <w:pPr>
        <w:spacing w:after="0" w:line="186" w:lineRule="exact"/>
        <w:rPr>
          <w:rFonts w:ascii="Arial" w:cs="Arial" w:eastAsia="Arial" w:hAnsi="Arial"/>
          <w:sz w:val="18"/>
          <w:szCs w:val="18"/>
          <w:b w:val="1"/>
          <w:bCs w:val="1"/>
          <w:color w:val="auto"/>
        </w:rPr>
      </w:pPr>
    </w:p>
    <w:p>
      <w:pPr>
        <w:jc w:val="both"/>
        <w:ind w:right="140" w:firstLine="1948"/>
        <w:spacing w:after="0" w:line="259" w:lineRule="auto"/>
        <w:tabs>
          <w:tab w:leader="none" w:pos="2340"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For so long as any shares of Series B Preferred remain outstanding, the holders of Series B Preferred, voting as a separate class, shall be entitled to elect one (1) member of the Board at each meeting or pursuant to each consent of the Company’s stockholders for the election of directors, and to remove from office such directors in accordance with applicable law and to fill any vacancy caused by the resignation, death or removal of such directors.</w:t>
      </w:r>
    </w:p>
    <w:p>
      <w:pPr>
        <w:spacing w:after="0" w:line="186" w:lineRule="exact"/>
        <w:rPr>
          <w:rFonts w:ascii="Arial" w:cs="Arial" w:eastAsia="Arial" w:hAnsi="Arial"/>
          <w:sz w:val="18"/>
          <w:szCs w:val="18"/>
          <w:b w:val="1"/>
          <w:bCs w:val="1"/>
          <w:color w:val="auto"/>
        </w:rPr>
      </w:pPr>
    </w:p>
    <w:p>
      <w:pPr>
        <w:ind w:right="40" w:firstLine="1948"/>
        <w:spacing w:after="0" w:line="264" w:lineRule="auto"/>
        <w:tabs>
          <w:tab w:leader="none" w:pos="2387"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The holders of Common Stock, voting as a separate class, shall be entitled to elect three (3) members of the Board at each meeting or pursuant to each consent of the Company’s stockholders for the election of directors, and to remove from office such directors in accordance with applicable law and to fill any vacancy caused by the resignation, death or removal of such directors.</w:t>
      </w:r>
    </w:p>
    <w:p>
      <w:pPr>
        <w:spacing w:after="0" w:line="181" w:lineRule="exact"/>
        <w:rPr>
          <w:rFonts w:ascii="Arial" w:cs="Arial" w:eastAsia="Arial" w:hAnsi="Arial"/>
          <w:sz w:val="18"/>
          <w:szCs w:val="18"/>
          <w:b w:val="1"/>
          <w:bCs w:val="1"/>
          <w:color w:val="auto"/>
        </w:rPr>
      </w:pPr>
    </w:p>
    <w:p>
      <w:pPr>
        <w:ind w:right="140" w:firstLine="1948"/>
        <w:spacing w:after="0" w:line="302" w:lineRule="auto"/>
        <w:tabs>
          <w:tab w:leader="none" w:pos="2376" w:val="left"/>
        </w:tabs>
        <w:numPr>
          <w:ilvl w:val="1"/>
          <w:numId w:val="168"/>
        </w:numPr>
        <w:rPr>
          <w:rFonts w:ascii="Arial" w:cs="Arial" w:eastAsia="Arial" w:hAnsi="Arial"/>
          <w:sz w:val="16"/>
          <w:szCs w:val="16"/>
          <w:b w:val="1"/>
          <w:bCs w:val="1"/>
          <w:color w:val="auto"/>
        </w:rPr>
      </w:pPr>
      <w:r>
        <w:rPr>
          <w:rFonts w:ascii="Arial" w:cs="Arial" w:eastAsia="Arial" w:hAnsi="Arial"/>
          <w:sz w:val="16"/>
          <w:szCs w:val="16"/>
          <w:color w:val="auto"/>
        </w:rPr>
        <w:t>The holders of Common Stock and Series Preferred, voting together as a single class on an as-if-converted basis, shall be entitled to elect one (1) member of the Board at each meeting or pursuant to each consent of the Company’s stockholders for the election of directors and to fill any vacancy caused by the resignation, death or removal of such director (the “</w:t>
      </w:r>
      <w:r>
        <w:rPr>
          <w:rFonts w:ascii="Arial" w:cs="Arial" w:eastAsia="Arial" w:hAnsi="Arial"/>
          <w:sz w:val="16"/>
          <w:szCs w:val="16"/>
          <w:b w:val="1"/>
          <w:bCs w:val="1"/>
          <w:i w:val="1"/>
          <w:iCs w:val="1"/>
          <w:color w:val="auto"/>
        </w:rPr>
        <w:t>At-Large Director</w:t>
      </w:r>
      <w:r>
        <w:rPr>
          <w:rFonts w:ascii="Arial" w:cs="Arial" w:eastAsia="Arial" w:hAnsi="Arial"/>
          <w:sz w:val="16"/>
          <w:szCs w:val="16"/>
          <w:color w:val="auto"/>
        </w:rPr>
        <w:t>”), and the holders of Common Stock or Series Preferred, voting separately on an as-if-converted basis, shall be entitled to remove from office such director in accordance with applicable law.</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248" w:name="page249"/>
    <w:bookmarkEnd w:id="248"/>
    <w:p>
      <w:pPr>
        <w:ind w:left="-20" w:right="140" w:firstLine="1948"/>
        <w:spacing w:after="0" w:line="259" w:lineRule="auto"/>
        <w:tabs>
          <w:tab w:leader="none" w:pos="2306"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holders of Common Stock and Series Preferred, voting together as a single class on an as-if-converted basis, shall be entitled to elect all remaining members of the Board at each meeting or pursuant to each consent of the Company’s stockholders for the election of directors, and to remove from office such directors in accordance with applicable law and to fill any vacancy caused by the resignation, death or removal of such directors.</w:t>
      </w:r>
    </w:p>
    <w:p>
      <w:pPr>
        <w:spacing w:after="0" w:line="186" w:lineRule="exact"/>
        <w:rPr>
          <w:rFonts w:ascii="Arial" w:cs="Arial" w:eastAsia="Arial" w:hAnsi="Arial"/>
          <w:sz w:val="18"/>
          <w:szCs w:val="18"/>
          <w:b w:val="1"/>
          <w:bCs w:val="1"/>
          <w:color w:val="auto"/>
        </w:rPr>
      </w:pPr>
    </w:p>
    <w:p>
      <w:pPr>
        <w:ind w:left="-20" w:right="40" w:firstLine="1948"/>
        <w:spacing w:after="0" w:line="268" w:lineRule="auto"/>
        <w:tabs>
          <w:tab w:leader="none" w:pos="2360"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Notwithstanding the provisions of Sections 223(a)(1) and 223(a)(2) of the DGCL, any vacancy, including newly created directorships resulting from any increase in the authorized number of directors or amendment of this Restated Certificate,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the Company’s stockholders or (ii) written consent, if the consenting stockholders hold a sufficient number of shares to elect their designee at a meeting of the stockholders in which all members of such class or series are present and voted. Any director may be removed during his or her term of office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 At any meeting held for the purpose of electing a director, the presence in person or by proxy of the holders of a majority of the outstanding shares of the class or series entitled to elect such director shall constitute a quorum for the purpose of electing such director.</w:t>
      </w:r>
    </w:p>
    <w:p>
      <w:pPr>
        <w:spacing w:after="0" w:line="187" w:lineRule="exact"/>
        <w:rPr>
          <w:rFonts w:ascii="Arial" w:cs="Arial" w:eastAsia="Arial" w:hAnsi="Arial"/>
          <w:sz w:val="17"/>
          <w:szCs w:val="17"/>
          <w:b w:val="1"/>
          <w:bCs w:val="1"/>
          <w:color w:val="auto"/>
        </w:rPr>
      </w:pPr>
    </w:p>
    <w:p>
      <w:pPr>
        <w:ind w:left="-20" w:firstLine="1948"/>
        <w:spacing w:after="0" w:line="270" w:lineRule="auto"/>
        <w:tabs>
          <w:tab w:leader="none" w:pos="2410"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No person entitled to vote at an election for directors may cumulate votes to which such person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shall be entitled to so cumulate such stockholder’s votes unless (A) the names of such candidate or candidates have been placed in nomination prior to the voting and (B)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249" w:name="page250"/>
    <w:bookmarkEnd w:id="249"/>
    <w:p>
      <w:pPr>
        <w:ind w:right="120" w:firstLine="1492"/>
        <w:spacing w:after="0" w:line="274" w:lineRule="auto"/>
        <w:tabs>
          <w:tab w:leader="none" w:pos="1873" w:val="left"/>
        </w:tabs>
        <w:numPr>
          <w:ilvl w:val="1"/>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Super-Voting Director and Non-Voting Director. </w:t>
      </w:r>
      <w:r>
        <w:rPr>
          <w:rFonts w:ascii="Arial" w:cs="Arial" w:eastAsia="Arial" w:hAnsi="Arial"/>
          <w:sz w:val="17"/>
          <w:szCs w:val="17"/>
          <w:color w:val="auto"/>
        </w:rPr>
        <w:t>One director so designated by the holders of a majority of the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of the Company (the “</w:t>
      </w:r>
      <w:r>
        <w:rPr>
          <w:rFonts w:ascii="Arial" w:cs="Arial" w:eastAsia="Arial" w:hAnsi="Arial"/>
          <w:sz w:val="17"/>
          <w:szCs w:val="17"/>
          <w:b w:val="1"/>
          <w:bCs w:val="1"/>
          <w:i w:val="1"/>
          <w:iCs w:val="1"/>
          <w:color w:val="auto"/>
        </w:rPr>
        <w:t>Super-Voting Director</w:t>
      </w:r>
      <w:r>
        <w:rPr>
          <w:rFonts w:ascii="Arial" w:cs="Arial" w:eastAsia="Arial" w:hAnsi="Arial"/>
          <w:sz w:val="17"/>
          <w:szCs w:val="17"/>
          <w:color w:val="auto"/>
        </w:rPr>
        <w:t>”) shall have two (2) votes on all matters to be voted upon by the Board until November 25, 2018. The At-Large Director shall have no vote on any matters to be voted upon by the Board until December 31, 2017. All other directors, other than the Super-Voting Director until November 25, 2018 and At-Large Director until December 31, 2017, shall each have one (1) vote on all matters to be voted upon by the Board. After November 25, 2018, the Super-Voting Director shall have one (1) vote on all matters to be voted upon by the Board. After December 31, 2017, the At-Large Director shall have one (1) vote on all matters to be voted upon by the Board.</w:t>
      </w:r>
    </w:p>
    <w:p>
      <w:pPr>
        <w:spacing w:after="0" w:line="322" w:lineRule="exact"/>
        <w:rPr>
          <w:rFonts w:ascii="Arial" w:cs="Arial" w:eastAsia="Arial" w:hAnsi="Arial"/>
          <w:sz w:val="17"/>
          <w:szCs w:val="17"/>
          <w:b w:val="1"/>
          <w:bCs w:val="1"/>
          <w:color w:val="auto"/>
        </w:rPr>
      </w:pPr>
    </w:p>
    <w:p>
      <w:pPr>
        <w:ind w:left="1480" w:hanging="567"/>
        <w:spacing w:after="0"/>
        <w:tabs>
          <w:tab w:leader="none" w:pos="14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IQUIDATION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20" w:firstLine="1492"/>
        <w:spacing w:after="0" w:line="291" w:lineRule="auto"/>
        <w:tabs>
          <w:tab w:leader="none" w:pos="1873" w:val="left"/>
        </w:tabs>
        <w:numPr>
          <w:ilvl w:val="1"/>
          <w:numId w:val="171"/>
        </w:numPr>
        <w:rPr>
          <w:rFonts w:ascii="Arial" w:cs="Arial" w:eastAsia="Arial" w:hAnsi="Arial"/>
          <w:sz w:val="16"/>
          <w:szCs w:val="16"/>
          <w:b w:val="1"/>
          <w:bCs w:val="1"/>
          <w:color w:val="auto"/>
        </w:rPr>
      </w:pPr>
      <w:r>
        <w:rPr>
          <w:rFonts w:ascii="Arial" w:cs="Arial" w:eastAsia="Arial" w:hAnsi="Arial"/>
          <w:sz w:val="16"/>
          <w:szCs w:val="16"/>
          <w:color w:val="auto"/>
        </w:rPr>
        <w:t>Upon any liquidation, dissolution, or winding up of the Company, whether voluntary or involuntary (a “</w:t>
      </w:r>
      <w:r>
        <w:rPr>
          <w:rFonts w:ascii="Arial" w:cs="Arial" w:eastAsia="Arial" w:hAnsi="Arial"/>
          <w:sz w:val="16"/>
          <w:szCs w:val="16"/>
          <w:b w:val="1"/>
          <w:bCs w:val="1"/>
          <w:i w:val="1"/>
          <w:iCs w:val="1"/>
          <w:color w:val="auto"/>
        </w:rPr>
        <w:t>Liquidation Event</w:t>
      </w:r>
      <w:r>
        <w:rPr>
          <w:rFonts w:ascii="Arial" w:cs="Arial" w:eastAsia="Arial" w:hAnsi="Arial"/>
          <w:sz w:val="16"/>
          <w:szCs w:val="16"/>
          <w:color w:val="auto"/>
        </w:rPr>
        <w:t>”), before any distribution or payment shall be made to the holders of any Common Stock, the holders of Series Preferred shall be entitled to be paid out of the assets of the Company legally available for distribution (or the consideration received by the Company or its stockholders in an Acquisition) for each share of Series Preferred held by them, an amount per share of Series Preferred equal to the Applicable Original Issue Price plus all declared and unpaid dividends on the Series Preferred. If, upon any such Liquidation Event, the assets of the Company shall be insufficient to make payment in full to all holders of Series Preferred of the liquidation preference set forth in this Section 3(a), then such assets (or consideration) shall be distributed among the holders of Series Preferred at the time outstanding, ratably in proportion to the full amounts to which they would otherwise be respectively entitled.</w:t>
      </w:r>
    </w:p>
    <w:p>
      <w:pPr>
        <w:spacing w:after="0" w:line="167" w:lineRule="exact"/>
        <w:rPr>
          <w:rFonts w:ascii="Arial" w:cs="Arial" w:eastAsia="Arial" w:hAnsi="Arial"/>
          <w:sz w:val="16"/>
          <w:szCs w:val="16"/>
          <w:b w:val="1"/>
          <w:bCs w:val="1"/>
          <w:color w:val="auto"/>
        </w:rPr>
      </w:pPr>
    </w:p>
    <w:p>
      <w:pPr>
        <w:jc w:val="both"/>
        <w:ind w:firstLine="1492"/>
        <w:spacing w:after="0" w:line="264" w:lineRule="auto"/>
        <w:tabs>
          <w:tab w:leader="none" w:pos="1873"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After the payment of the full liquidation preference of the Series Preferred as set forth in Section 3(a) above, the remaining assets of the Company legally available for distribution (or the consideration received by the Company or its stockholders in an Acquisition), if any, shall be distributed ratably to the holders of the Common Stock.</w:t>
      </w:r>
    </w:p>
    <w:p>
      <w:pPr>
        <w:spacing w:after="0" w:line="181" w:lineRule="exact"/>
        <w:rPr>
          <w:rFonts w:ascii="Arial" w:cs="Arial" w:eastAsia="Arial" w:hAnsi="Arial"/>
          <w:sz w:val="18"/>
          <w:szCs w:val="18"/>
          <w:b w:val="1"/>
          <w:bCs w:val="1"/>
          <w:color w:val="auto"/>
        </w:rPr>
      </w:pPr>
    </w:p>
    <w:p>
      <w:pPr>
        <w:ind w:right="80" w:firstLine="1492"/>
        <w:spacing w:after="0" w:line="312" w:lineRule="auto"/>
        <w:tabs>
          <w:tab w:leader="none" w:pos="1863" w:val="left"/>
        </w:tabs>
        <w:numPr>
          <w:ilvl w:val="1"/>
          <w:numId w:val="171"/>
        </w:numPr>
        <w:rPr>
          <w:rFonts w:ascii="Arial" w:cs="Arial" w:eastAsia="Arial" w:hAnsi="Arial"/>
          <w:sz w:val="16"/>
          <w:szCs w:val="16"/>
          <w:b w:val="1"/>
          <w:bCs w:val="1"/>
          <w:color w:val="auto"/>
        </w:rPr>
      </w:pPr>
      <w:r>
        <w:rPr>
          <w:rFonts w:ascii="Arial" w:cs="Arial" w:eastAsia="Arial" w:hAnsi="Arial"/>
          <w:sz w:val="16"/>
          <w:szCs w:val="16"/>
          <w:color w:val="auto"/>
        </w:rPr>
        <w:t>Notwithstanding the foregoing, if the holders of Series Preferred would be entitled to greater proceeds if such Series Preferred were to convert into Common Stock and forego the amounts payable to the holders of Series Preferred pursuant to Section 3(a) above, then the holders of Series Preferred would be entitled to receive such greater amounts in lieu of the amounts payable to the holders of Series Preferred pursuant to Section 3(a) above.</w:t>
      </w:r>
    </w:p>
    <w:p>
      <w:pPr>
        <w:spacing w:after="0" w:line="146" w:lineRule="exact"/>
        <w:rPr>
          <w:rFonts w:ascii="Arial" w:cs="Arial" w:eastAsia="Arial" w:hAnsi="Arial"/>
          <w:sz w:val="16"/>
          <w:szCs w:val="16"/>
          <w:b w:val="1"/>
          <w:bCs w:val="1"/>
          <w:color w:val="auto"/>
        </w:rPr>
      </w:pPr>
    </w:p>
    <w:p>
      <w:pPr>
        <w:ind w:left="1880" w:hanging="388"/>
        <w:spacing w:after="0"/>
        <w:tabs>
          <w:tab w:leader="none" w:pos="1880" w:val="left"/>
        </w:tabs>
        <w:numPr>
          <w:ilvl w:val="1"/>
          <w:numId w:val="171"/>
        </w:numPr>
        <w:rPr>
          <w:rFonts w:ascii="Arial" w:cs="Arial" w:eastAsia="Arial" w:hAnsi="Arial"/>
          <w:sz w:val="17"/>
          <w:szCs w:val="17"/>
          <w:b w:val="1"/>
          <w:bCs w:val="1"/>
          <w:color w:val="auto"/>
        </w:rPr>
      </w:pPr>
      <w:r>
        <w:rPr>
          <w:rFonts w:ascii="Arial" w:cs="Arial" w:eastAsia="Arial" w:hAnsi="Arial"/>
          <w:sz w:val="17"/>
          <w:szCs w:val="17"/>
          <w:color w:val="auto"/>
        </w:rPr>
        <w:t>An Asset Transfer or Acquisition (each as defined below) shall be deemed a Liquidation Event for purposes of this Section 3.</w:t>
      </w:r>
    </w:p>
    <w:p>
      <w:pPr>
        <w:spacing w:after="0" w:line="236" w:lineRule="exact"/>
        <w:rPr>
          <w:rFonts w:ascii="Arial" w:cs="Arial" w:eastAsia="Arial" w:hAnsi="Arial"/>
          <w:sz w:val="17"/>
          <w:szCs w:val="17"/>
          <w:b w:val="1"/>
          <w:bCs w:val="1"/>
          <w:color w:val="auto"/>
        </w:rPr>
      </w:pPr>
    </w:p>
    <w:p>
      <w:pPr>
        <w:ind w:right="120" w:firstLine="1948"/>
        <w:spacing w:after="0" w:line="257" w:lineRule="auto"/>
        <w:tabs>
          <w:tab w:leader="none" w:pos="2290" w:val="left"/>
        </w:tabs>
        <w:numPr>
          <w:ilvl w:val="2"/>
          <w:numId w:val="171"/>
        </w:numPr>
        <w:rPr>
          <w:rFonts w:ascii="Arial" w:cs="Arial" w:eastAsia="Arial" w:hAnsi="Arial"/>
          <w:sz w:val="18"/>
          <w:szCs w:val="18"/>
          <w:b w:val="1"/>
          <w:bCs w:val="1"/>
          <w:color w:val="auto"/>
        </w:rPr>
      </w:pPr>
      <w:r>
        <w:rPr>
          <w:rFonts w:ascii="Arial" w:cs="Arial" w:eastAsia="Arial" w:hAnsi="Arial"/>
          <w:sz w:val="18"/>
          <w:szCs w:val="18"/>
          <w:color w:val="auto"/>
        </w:rPr>
        <w:t>For the purposes of this Section 3: (i) “</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shall mean (A) any consolidation or merger of the Company with or into any other corporation or other entity or person, or any other corporate reorganization, other than any such consolidation, merger or reorganization in which the holders of the voting securities of the Company immediately prior to such consolidation, merger or reorganization, continue to hold as of immediately after such consolidation, merger or reorganization, a majority of the voting power of the surviving entity (or, if the surviving entity is a wholly owned subsidiary, its parent) as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250" w:name="page251"/>
    <w:bookmarkEnd w:id="250"/>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of the shares in the Company held by such holders prior to such consolidation, merger or reorganization; or (B) any transaction or series of related transactions to which the Company is a party in which in excess of fifty percent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and (ii) “</w:t>
      </w:r>
      <w:r>
        <w:rPr>
          <w:rFonts w:ascii="Arial" w:cs="Arial" w:eastAsia="Arial" w:hAnsi="Arial"/>
          <w:sz w:val="17"/>
          <w:szCs w:val="17"/>
          <w:b w:val="1"/>
          <w:bCs w:val="1"/>
          <w:i w:val="1"/>
          <w:iCs w:val="1"/>
          <w:color w:val="auto"/>
        </w:rPr>
        <w:t>Asset Transfer</w:t>
      </w:r>
      <w:r>
        <w:rPr>
          <w:rFonts w:ascii="Arial" w:cs="Arial" w:eastAsia="Arial" w:hAnsi="Arial"/>
          <w:sz w:val="17"/>
          <w:szCs w:val="17"/>
          <w:color w:val="auto"/>
        </w:rPr>
        <w:t>” shall mean a sale, lease, exclusive license or other disposition of all or substantially all of the assets of the Company.</w:t>
      </w:r>
    </w:p>
    <w:p>
      <w:pPr>
        <w:spacing w:after="0" w:line="173" w:lineRule="exact"/>
        <w:rPr>
          <w:sz w:val="20"/>
          <w:szCs w:val="20"/>
          <w:color w:val="auto"/>
        </w:rPr>
      </w:pPr>
    </w:p>
    <w:p>
      <w:pPr>
        <w:ind w:right="60" w:firstLine="1948"/>
        <w:spacing w:after="0" w:line="308" w:lineRule="auto"/>
        <w:tabs>
          <w:tab w:leader="none" w:pos="2340"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In any Acquisition or Asset Transfer, if the consideration to be received is securities of a corporation or other property other than cash, its value will be deemed its fair market value as determined in good faith by the Board on the date such determination is made.</w:t>
      </w:r>
    </w:p>
    <w:p>
      <w:pPr>
        <w:spacing w:after="0" w:line="146" w:lineRule="exact"/>
        <w:rPr>
          <w:rFonts w:ascii="Arial" w:cs="Arial" w:eastAsia="Arial" w:hAnsi="Arial"/>
          <w:sz w:val="17"/>
          <w:szCs w:val="17"/>
          <w:b w:val="1"/>
          <w:bCs w:val="1"/>
          <w:color w:val="auto"/>
        </w:rPr>
      </w:pPr>
    </w:p>
    <w:p>
      <w:pPr>
        <w:ind w:right="80" w:firstLine="1948"/>
        <w:spacing w:after="0" w:line="264" w:lineRule="auto"/>
        <w:tabs>
          <w:tab w:leader="none" w:pos="2387" w:val="left"/>
        </w:tabs>
        <w:numPr>
          <w:ilvl w:val="1"/>
          <w:numId w:val="172"/>
        </w:numPr>
        <w:rPr>
          <w:rFonts w:ascii="Arial" w:cs="Arial" w:eastAsia="Arial" w:hAnsi="Arial"/>
          <w:sz w:val="18"/>
          <w:szCs w:val="18"/>
          <w:b w:val="1"/>
          <w:bCs w:val="1"/>
          <w:color w:val="auto"/>
        </w:rPr>
      </w:pPr>
      <w:r>
        <w:rPr>
          <w:rFonts w:ascii="Arial" w:cs="Arial" w:eastAsia="Arial" w:hAnsi="Arial"/>
          <w:sz w:val="18"/>
          <w:szCs w:val="18"/>
          <w:color w:val="auto"/>
        </w:rPr>
        <w:t>The Company shall not have the power to effect an Acquisition or Asset Transfer unless the definitive agreement for such transaction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provides that the consideration payable to the stockholders of the Company in connection therewith shall be allocated among the holders of capital stock of the Company in accordance with this Section 3.</w:t>
      </w:r>
    </w:p>
    <w:p>
      <w:pPr>
        <w:spacing w:after="0" w:line="181" w:lineRule="exact"/>
        <w:rPr>
          <w:rFonts w:ascii="Arial" w:cs="Arial" w:eastAsia="Arial" w:hAnsi="Arial"/>
          <w:sz w:val="18"/>
          <w:szCs w:val="18"/>
          <w:b w:val="1"/>
          <w:bCs w:val="1"/>
          <w:color w:val="auto"/>
        </w:rPr>
      </w:pPr>
    </w:p>
    <w:p>
      <w:pPr>
        <w:ind w:firstLine="1948"/>
        <w:spacing w:after="0" w:line="270" w:lineRule="auto"/>
        <w:tabs>
          <w:tab w:leader="none" w:pos="2380" w:val="left"/>
        </w:tabs>
        <w:numPr>
          <w:ilvl w:val="1"/>
          <w:numId w:val="172"/>
        </w:numPr>
        <w:rPr>
          <w:rFonts w:ascii="Arial" w:cs="Arial" w:eastAsia="Arial" w:hAnsi="Arial"/>
          <w:sz w:val="17"/>
          <w:szCs w:val="17"/>
          <w:b w:val="1"/>
          <w:bCs w:val="1"/>
          <w:color w:val="auto"/>
        </w:rPr>
      </w:pPr>
      <w:r>
        <w:rPr>
          <w:rFonts w:ascii="Arial" w:cs="Arial" w:eastAsia="Arial" w:hAnsi="Arial"/>
          <w:sz w:val="17"/>
          <w:szCs w:val="17"/>
          <w:color w:val="auto"/>
        </w:rPr>
        <w:t>In the event of a Liquidation Event pursuant to this 3(d), if any portion of the consideration payable to the stockholders of the Company is payable only upon satisfaction of contingencies (the “</w:t>
      </w:r>
      <w:r>
        <w:rPr>
          <w:rFonts w:ascii="Arial" w:cs="Arial" w:eastAsia="Arial" w:hAnsi="Arial"/>
          <w:sz w:val="17"/>
          <w:szCs w:val="17"/>
          <w:b w:val="1"/>
          <w:bCs w:val="1"/>
          <w:i w:val="1"/>
          <w:iCs w:val="1"/>
          <w:color w:val="auto"/>
        </w:rPr>
        <w:t>Additional Consideration</w:t>
      </w:r>
      <w:r>
        <w:rPr>
          <w:rFonts w:ascii="Arial" w:cs="Arial" w:eastAsia="Arial" w:hAnsi="Arial"/>
          <w:sz w:val="17"/>
          <w:szCs w:val="17"/>
          <w:color w:val="auto"/>
        </w:rPr>
        <w:t>”), the agreement or plan of merger or consolidation for such transaction shall provide that (i) the portion of such consideration that is not Additional Consideration (such portion, the “</w:t>
      </w:r>
      <w:r>
        <w:rPr>
          <w:rFonts w:ascii="Arial" w:cs="Arial" w:eastAsia="Arial" w:hAnsi="Arial"/>
          <w:sz w:val="17"/>
          <w:szCs w:val="17"/>
          <w:b w:val="1"/>
          <w:bCs w:val="1"/>
          <w:i w:val="1"/>
          <w:iCs w:val="1"/>
          <w:color w:val="auto"/>
        </w:rPr>
        <w:t>Initial Consideration</w:t>
      </w:r>
      <w:r>
        <w:rPr>
          <w:rFonts w:ascii="Arial" w:cs="Arial" w:eastAsia="Arial" w:hAnsi="Arial"/>
          <w:sz w:val="17"/>
          <w:szCs w:val="17"/>
          <w:color w:val="auto"/>
        </w:rPr>
        <w:t>”) shall be allocated among the holders of capital stock of the Company in accordance with Sections 3(a) and 3(b) as if the Initial Consideration were the only consideration payable in connection with such Liquidation Event; and (ii) any Additional Consideration which becomes payable to the stockholders of the Company upon satisfaction of such contingencies shall be allocated among the holders of capital stock of the Company in accordance with Sections 3(a) and 3(b) after taking into account the previous payment of the Initial Consideration as part of the same transaction. For the purposes of this Section 3(d)(iv), consideration placed into escrow or retained as holdback to be available for satisfaction of indemnification or similar obligations in connection with such Liquidation Event shall be deemed to be Additional Consideration.</w:t>
      </w:r>
    </w:p>
    <w:p>
      <w:pPr>
        <w:spacing w:after="0" w:line="181" w:lineRule="exact"/>
        <w:rPr>
          <w:rFonts w:ascii="Arial" w:cs="Arial" w:eastAsia="Arial" w:hAnsi="Arial"/>
          <w:sz w:val="17"/>
          <w:szCs w:val="17"/>
          <w:b w:val="1"/>
          <w:bCs w:val="1"/>
          <w:color w:val="auto"/>
        </w:rPr>
      </w:pPr>
    </w:p>
    <w:p>
      <w:pPr>
        <w:ind w:right="20" w:firstLine="1492"/>
        <w:spacing w:after="0" w:line="293" w:lineRule="auto"/>
        <w:tabs>
          <w:tab w:leader="none" w:pos="1860" w:val="left"/>
        </w:tabs>
        <w:numPr>
          <w:ilvl w:val="0"/>
          <w:numId w:val="173"/>
        </w:numPr>
        <w:rPr>
          <w:rFonts w:ascii="Arial" w:cs="Arial" w:eastAsia="Arial" w:hAnsi="Arial"/>
          <w:sz w:val="16"/>
          <w:szCs w:val="16"/>
          <w:b w:val="1"/>
          <w:bCs w:val="1"/>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Series A-1 Original Issue Price</w:t>
      </w:r>
      <w:r>
        <w:rPr>
          <w:rFonts w:ascii="Arial" w:cs="Arial" w:eastAsia="Arial" w:hAnsi="Arial"/>
          <w:sz w:val="16"/>
          <w:szCs w:val="16"/>
          <w:color w:val="auto"/>
        </w:rPr>
        <w:t>” shall be $7.75 (as adjusted for any stock dividends, combinations, splits, recapitalizations and the like with respect to such shares after the Effective Time). The “</w:t>
      </w:r>
      <w:r>
        <w:rPr>
          <w:rFonts w:ascii="Arial" w:cs="Arial" w:eastAsia="Arial" w:hAnsi="Arial"/>
          <w:sz w:val="16"/>
          <w:szCs w:val="16"/>
          <w:b w:val="1"/>
          <w:bCs w:val="1"/>
          <w:i w:val="1"/>
          <w:iCs w:val="1"/>
          <w:color w:val="auto"/>
        </w:rPr>
        <w:t>Series A-2 Original Issue Price</w:t>
      </w:r>
      <w:r>
        <w:rPr>
          <w:rFonts w:ascii="Arial" w:cs="Arial" w:eastAsia="Arial" w:hAnsi="Arial"/>
          <w:sz w:val="16"/>
          <w:szCs w:val="16"/>
          <w:color w:val="auto"/>
        </w:rPr>
        <w:t>” shall be $9.6473023 (as adjusted for any stock dividends, combinations, splits, recapitalizations and the like with respect to such shares after the Effective Time). The “</w:t>
      </w:r>
      <w:r>
        <w:rPr>
          <w:rFonts w:ascii="Arial" w:cs="Arial" w:eastAsia="Arial" w:hAnsi="Arial"/>
          <w:sz w:val="16"/>
          <w:szCs w:val="16"/>
          <w:b w:val="1"/>
          <w:bCs w:val="1"/>
          <w:i w:val="1"/>
          <w:iCs w:val="1"/>
          <w:color w:val="auto"/>
        </w:rPr>
        <w:t>Series B Original Issue Price</w:t>
      </w:r>
      <w:r>
        <w:rPr>
          <w:rFonts w:ascii="Arial" w:cs="Arial" w:eastAsia="Arial" w:hAnsi="Arial"/>
          <w:sz w:val="16"/>
          <w:szCs w:val="16"/>
          <w:color w:val="auto"/>
        </w:rPr>
        <w:t>” shall be $9.882025 (as adjusted for any stock dividends, combinations, splits, recapitalizations and the like with respect to such shares after the Effective Time). The “</w:t>
      </w:r>
      <w:r>
        <w:rPr>
          <w:rFonts w:ascii="Arial" w:cs="Arial" w:eastAsia="Arial" w:hAnsi="Arial"/>
          <w:sz w:val="16"/>
          <w:szCs w:val="16"/>
          <w:b w:val="1"/>
          <w:bCs w:val="1"/>
          <w:i w:val="1"/>
          <w:iCs w:val="1"/>
          <w:color w:val="auto"/>
        </w:rPr>
        <w:t>Applicable Original Issue Price</w:t>
      </w:r>
      <w:r>
        <w:rPr>
          <w:rFonts w:ascii="Arial" w:cs="Arial" w:eastAsia="Arial" w:hAnsi="Arial"/>
          <w:sz w:val="16"/>
          <w:szCs w:val="16"/>
          <w:color w:val="auto"/>
        </w:rPr>
        <w:t>” shall mean, (i) with respect to the Series A-1 Preferred, the Series A-1 Original Issue Price, (ii) with respect to the Series A-2 Preferred, the Series A-2 Original Issue Price, and (iii) with respect to the Series B Preferred, the Series B Original Issue Price.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74" w:right="339" w:bottom="1440" w:gutter="0" w:footer="0" w:header="0"/>
        </w:sectPr>
      </w:pPr>
    </w:p>
    <w:bookmarkStart w:id="251" w:name="page252"/>
    <w:bookmarkEnd w:id="251"/>
    <w:p>
      <w:pPr>
        <w:ind w:left="1480" w:hanging="567"/>
        <w:spacing w:after="0"/>
        <w:tabs>
          <w:tab w:leader="none" w:pos="14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w:t>
      </w:r>
      <w:r>
        <w:rPr>
          <w:rFonts w:ascii="Arial" w:cs="Arial" w:eastAsia="Arial" w:hAnsi="Arial"/>
          <w:sz w:val="15"/>
          <w:szCs w:val="15"/>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holders of the Series Preferred shall have the following rights with respect to the conversion of the Series Preferred into shares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207" w:lineRule="exact"/>
        <w:rPr>
          <w:sz w:val="20"/>
          <w:szCs w:val="20"/>
          <w:color w:val="auto"/>
        </w:rPr>
      </w:pPr>
    </w:p>
    <w:p>
      <w:pPr>
        <w:jc w:val="both"/>
        <w:ind w:firstLine="1492"/>
        <w:spacing w:after="0" w:line="281" w:lineRule="auto"/>
        <w:tabs>
          <w:tab w:leader="none" w:pos="1873"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Optional Conversion. </w:t>
      </w:r>
      <w:r>
        <w:rPr>
          <w:rFonts w:ascii="Arial" w:cs="Arial" w:eastAsia="Arial" w:hAnsi="Arial"/>
          <w:sz w:val="17"/>
          <w:szCs w:val="17"/>
          <w:color w:val="auto"/>
        </w:rPr>
        <w:t>Subject to and in compliance with the provisions of this Section 4, any shares of Series Preferred may,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of the holder, be converted at any time into fully-paid and nonassessable shares of Common Stock. The number of shares of Common Stock to which a holder of Series Preferred shall be entitled upon conversion shall be the product obtained by multiplying the Applicable Series Preferred Conversion Rate then in effect (determined as provided in Section 4(b)) by the number of shares of Series Preferred being converted.</w:t>
      </w:r>
    </w:p>
    <w:p>
      <w:pPr>
        <w:spacing w:after="0" w:line="164" w:lineRule="exact"/>
        <w:rPr>
          <w:rFonts w:ascii="Arial" w:cs="Arial" w:eastAsia="Arial" w:hAnsi="Arial"/>
          <w:sz w:val="17"/>
          <w:szCs w:val="17"/>
          <w:b w:val="1"/>
          <w:bCs w:val="1"/>
          <w:color w:val="auto"/>
        </w:rPr>
      </w:pPr>
    </w:p>
    <w:p>
      <w:pPr>
        <w:ind w:right="100" w:firstLine="1492"/>
        <w:spacing w:after="0" w:line="266" w:lineRule="auto"/>
        <w:tabs>
          <w:tab w:leader="none" w:pos="1883"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Series Preferred Conversion Rate. </w:t>
      </w:r>
      <w:r>
        <w:rPr>
          <w:rFonts w:ascii="Arial" w:cs="Arial" w:eastAsia="Arial" w:hAnsi="Arial"/>
          <w:sz w:val="18"/>
          <w:szCs w:val="18"/>
          <w:color w:val="auto"/>
        </w:rPr>
        <w:t>The conversion rate in effect at any time for conversion of each series of Series Preferred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Series Preferred Conversion Rate</w:t>
      </w:r>
      <w:r>
        <w:rPr>
          <w:rFonts w:ascii="Arial" w:cs="Arial" w:eastAsia="Arial" w:hAnsi="Arial"/>
          <w:sz w:val="18"/>
          <w:szCs w:val="18"/>
          <w:color w:val="auto"/>
        </w:rPr>
        <w:t>”) shall be the quotient obtained by dividing the Applicable Original Issue Price of such series of Series Preferred by the Applicable Series Preferred Conversion Price, calculated as provided in Section 4(c).</w:t>
      </w:r>
    </w:p>
    <w:p>
      <w:pPr>
        <w:spacing w:after="0" w:line="176" w:lineRule="exact"/>
        <w:rPr>
          <w:rFonts w:ascii="Arial" w:cs="Arial" w:eastAsia="Arial" w:hAnsi="Arial"/>
          <w:sz w:val="18"/>
          <w:szCs w:val="18"/>
          <w:b w:val="1"/>
          <w:bCs w:val="1"/>
          <w:color w:val="auto"/>
        </w:rPr>
      </w:pPr>
    </w:p>
    <w:p>
      <w:pPr>
        <w:ind w:right="280" w:firstLine="1492"/>
        <w:spacing w:after="0" w:line="261" w:lineRule="auto"/>
        <w:tabs>
          <w:tab w:leader="none" w:pos="1863"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Series Preferred Conversion Price. </w:t>
      </w:r>
      <w:r>
        <w:rPr>
          <w:rFonts w:ascii="Arial" w:cs="Arial" w:eastAsia="Arial" w:hAnsi="Arial"/>
          <w:sz w:val="18"/>
          <w:szCs w:val="18"/>
          <w:color w:val="auto"/>
        </w:rPr>
        <w:t>The conversion price for each series of Series Preferred shall initially be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Issue Price of such series of Series Preferred (the “</w:t>
      </w:r>
      <w:r>
        <w:rPr>
          <w:rFonts w:ascii="Arial" w:cs="Arial" w:eastAsia="Arial" w:hAnsi="Arial"/>
          <w:sz w:val="18"/>
          <w:szCs w:val="18"/>
          <w:b w:val="1"/>
          <w:bCs w:val="1"/>
          <w:i w:val="1"/>
          <w:iCs w:val="1"/>
          <w:color w:val="auto"/>
        </w:rPr>
        <w:t>Applicable Series Preferred Conversion Price</w:t>
      </w:r>
      <w:r>
        <w:rPr>
          <w:rFonts w:ascii="Arial" w:cs="Arial" w:eastAsia="Arial" w:hAnsi="Arial"/>
          <w:sz w:val="18"/>
          <w:szCs w:val="18"/>
          <w:color w:val="auto"/>
        </w:rPr>
        <w:t>”). Such initial Applicable Series Preferred Conversion Price shall be adjusted from time to time in accordance with this Section 4. All references to the Applicable Series Preferred Conversion Price herein shall mean the Applicable Series Preferred Conversion Price as so adjusted.</w:t>
      </w:r>
    </w:p>
    <w:p>
      <w:pPr>
        <w:spacing w:after="0" w:line="180" w:lineRule="exact"/>
        <w:rPr>
          <w:rFonts w:ascii="Arial" w:cs="Arial" w:eastAsia="Arial" w:hAnsi="Arial"/>
          <w:sz w:val="18"/>
          <w:szCs w:val="18"/>
          <w:b w:val="1"/>
          <w:bCs w:val="1"/>
          <w:color w:val="auto"/>
        </w:rPr>
      </w:pPr>
    </w:p>
    <w:p>
      <w:pPr>
        <w:ind w:right="20" w:firstLine="1492"/>
        <w:spacing w:after="0" w:line="270" w:lineRule="auto"/>
        <w:tabs>
          <w:tab w:leader="none" w:pos="1883"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Mechanics of Optional Conversion. </w:t>
      </w:r>
      <w:r>
        <w:rPr>
          <w:rFonts w:ascii="Arial" w:cs="Arial" w:eastAsia="Arial" w:hAnsi="Arial"/>
          <w:sz w:val="17"/>
          <w:szCs w:val="17"/>
          <w:color w:val="auto"/>
        </w:rPr>
        <w:t>Each holder of Series Preferred who desires to convert the same into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pursuant to this Section 4 shall surrender the certificate or certificates therefor, duly endorsed, at the office of the Company or any transfer agent for the Series Preferred, and shall give written notice to the Company at such office that such holder elects to convert the same. Such notice shall state the number of shares of Series Preferred being converted. Thereupon, the Company shall promptly issue and deliver at such office to such holder a certificate or certificates for the number of shares of Common Stock to which such holder is entitled and shall promptly pay (i) in cash or, to the extent sufficient funds are not then legally available therefor, in Common Stock (at the Common Stock’s fair market value determined by the Board as of the date of such conversion), any declared and unpaid dividends on the shares of Series Preferred being converted and (ii) in cash (at the Common Stock’s fair market value determined by the Board as of the date of conversion) the value of any fractional share of Common Stock otherwise issuable to any holder of Series Preferred. Such conversion shall be deemed to have been made at the close of business on the date of such surrender of the certificates representing the shares of Series Preferred to be converted, and the person entitled to receive the shares of Common Stock issuable upon such conversion shall be treated for all purposes as the record holder of such shares of Common Stock on such date.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252" w:name="page253"/>
    <w:bookmarkEnd w:id="252"/>
    <w:p>
      <w:pPr>
        <w:ind w:right="40" w:firstLine="1492"/>
        <w:spacing w:after="0" w:line="256" w:lineRule="auto"/>
        <w:tabs>
          <w:tab w:leader="none" w:pos="1863"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Adjustment for Stock Splits and Combinations. </w:t>
      </w:r>
      <w:r>
        <w:rPr>
          <w:rFonts w:ascii="Arial" w:cs="Arial" w:eastAsia="Arial" w:hAnsi="Arial"/>
          <w:sz w:val="18"/>
          <w:szCs w:val="18"/>
          <w:color w:val="auto"/>
        </w:rPr>
        <w:t>If at any time or from time to time on or after the Effective Time,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effects a subdivision of the outstanding Common Stock, the Applicable Series Preferred Conversion Price in effect immediately before that subdivision shall be proportionately decreased. Conversely, if at any time or from time to time after the Effective Time the Company combines the outstanding shares of Common Stock into a smaller number of shares, the Applicable Series Preferred Conversion Price in effect immediately before the combination shall be proportionately increased. Any adjustment under this Section 4(e) shall become effective at the close of business on the date the subdivision or combination becomes effective.</w:t>
      </w:r>
    </w:p>
    <w:p>
      <w:pPr>
        <w:spacing w:after="0" w:line="187" w:lineRule="exact"/>
        <w:rPr>
          <w:rFonts w:ascii="Arial" w:cs="Arial" w:eastAsia="Arial" w:hAnsi="Arial"/>
          <w:sz w:val="18"/>
          <w:szCs w:val="18"/>
          <w:b w:val="1"/>
          <w:bCs w:val="1"/>
          <w:color w:val="auto"/>
        </w:rPr>
      </w:pPr>
    </w:p>
    <w:p>
      <w:pPr>
        <w:ind w:right="120" w:firstLine="1492"/>
        <w:spacing w:after="0" w:line="266" w:lineRule="auto"/>
        <w:tabs>
          <w:tab w:leader="none" w:pos="1843"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 for Common Stock Dividends and Distributions. </w:t>
      </w:r>
      <w:r>
        <w:rPr>
          <w:rFonts w:ascii="Arial" w:cs="Arial" w:eastAsia="Arial" w:hAnsi="Arial"/>
          <w:sz w:val="18"/>
          <w:szCs w:val="18"/>
          <w:color w:val="auto"/>
        </w:rPr>
        <w:t>If at any time or from time to time on or after the Effective Time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pays to holders of Common Stock a dividend or other distribution in additional shares of Common Stock, the Applicable Series Preferred Conversion Price then in effect shall be decreased as of the time of such issuance, as provided below:</w:t>
      </w:r>
    </w:p>
    <w:p>
      <w:pPr>
        <w:spacing w:after="0" w:line="180" w:lineRule="exact"/>
        <w:rPr>
          <w:rFonts w:ascii="Arial" w:cs="Arial" w:eastAsia="Arial" w:hAnsi="Arial"/>
          <w:sz w:val="18"/>
          <w:szCs w:val="18"/>
          <w:b w:val="1"/>
          <w:bCs w:val="1"/>
          <w:color w:val="auto"/>
        </w:rPr>
      </w:pPr>
    </w:p>
    <w:p>
      <w:pPr>
        <w:ind w:right="780" w:firstLine="1948"/>
        <w:spacing w:after="0" w:line="277" w:lineRule="auto"/>
        <w:tabs>
          <w:tab w:leader="none" w:pos="2287"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The Applicable Series Preferred Conversion Price shall be adjusted by multiplying the Applicable Series Preferred Conversion Price then in effect by a fraction equal to:</w:t>
      </w:r>
    </w:p>
    <w:p>
      <w:pPr>
        <w:spacing w:after="0" w:line="170" w:lineRule="exact"/>
        <w:rPr>
          <w:rFonts w:ascii="Arial" w:cs="Arial" w:eastAsia="Arial" w:hAnsi="Arial"/>
          <w:sz w:val="18"/>
          <w:szCs w:val="18"/>
          <w:b w:val="1"/>
          <w:bCs w:val="1"/>
          <w:color w:val="auto"/>
        </w:rPr>
      </w:pPr>
    </w:p>
    <w:p>
      <w:pPr>
        <w:ind w:left="2840" w:hanging="436"/>
        <w:spacing w:after="0"/>
        <w:tabs>
          <w:tab w:leader="none" w:pos="2840" w:val="left"/>
        </w:tabs>
        <w:numPr>
          <w:ilvl w:val="2"/>
          <w:numId w:val="176"/>
        </w:numPr>
        <w:rPr>
          <w:rFonts w:ascii="Arial" w:cs="Arial" w:eastAsia="Arial" w:hAnsi="Arial"/>
          <w:sz w:val="16"/>
          <w:szCs w:val="16"/>
          <w:b w:val="1"/>
          <w:bCs w:val="1"/>
          <w:color w:val="auto"/>
        </w:rPr>
      </w:pPr>
      <w:r>
        <w:rPr>
          <w:rFonts w:ascii="Arial" w:cs="Arial" w:eastAsia="Arial" w:hAnsi="Arial"/>
          <w:sz w:val="16"/>
          <w:szCs w:val="16"/>
          <w:color w:val="auto"/>
        </w:rPr>
        <w:t>the numerator of which is the total number of shares of Common Stock issued and outstanding immediately prior to</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time of such issuance, and</w:t>
      </w:r>
    </w:p>
    <w:p>
      <w:pPr>
        <w:spacing w:after="0" w:line="210" w:lineRule="exact"/>
        <w:rPr>
          <w:rFonts w:ascii="Arial" w:cs="Arial" w:eastAsia="Arial" w:hAnsi="Arial"/>
          <w:sz w:val="16"/>
          <w:szCs w:val="16"/>
          <w:b w:val="1"/>
          <w:bCs w:val="1"/>
          <w:color w:val="auto"/>
        </w:rPr>
      </w:pPr>
    </w:p>
    <w:p>
      <w:pPr>
        <w:ind w:firstLine="2404"/>
        <w:spacing w:after="0" w:line="308" w:lineRule="auto"/>
        <w:tabs>
          <w:tab w:leader="none" w:pos="2816" w:val="left"/>
        </w:tabs>
        <w:numPr>
          <w:ilvl w:val="2"/>
          <w:numId w:val="176"/>
        </w:numPr>
        <w:rPr>
          <w:rFonts w:ascii="Arial" w:cs="Arial" w:eastAsia="Arial" w:hAnsi="Arial"/>
          <w:sz w:val="17"/>
          <w:szCs w:val="17"/>
          <w:b w:val="1"/>
          <w:bCs w:val="1"/>
          <w:color w:val="auto"/>
        </w:rPr>
      </w:pPr>
      <w:r>
        <w:rPr>
          <w:rFonts w:ascii="Arial" w:cs="Arial" w:eastAsia="Arial" w:hAnsi="Arial"/>
          <w:sz w:val="17"/>
          <w:szCs w:val="17"/>
          <w:color w:val="auto"/>
        </w:rPr>
        <w:t>the denominator of which is the total number of shares of Common Stock issued and outstanding immediately prior to the time of such issuance plus the number of shares of Common Stock issuable in payment of such dividend or distribution;</w:t>
      </w:r>
    </w:p>
    <w:p>
      <w:pPr>
        <w:spacing w:after="0" w:line="146" w:lineRule="exact"/>
        <w:rPr>
          <w:rFonts w:ascii="Arial" w:cs="Arial" w:eastAsia="Arial" w:hAnsi="Arial"/>
          <w:sz w:val="17"/>
          <w:szCs w:val="17"/>
          <w:b w:val="1"/>
          <w:bCs w:val="1"/>
          <w:color w:val="auto"/>
        </w:rPr>
      </w:pPr>
    </w:p>
    <w:p>
      <w:pPr>
        <w:ind w:right="20" w:firstLine="1948"/>
        <w:spacing w:after="0" w:line="264" w:lineRule="auto"/>
        <w:tabs>
          <w:tab w:leader="none" w:pos="2340"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If the Company fixes a record date to determine which holders of Common Stock are entitled to receive such dividend or other distribution, the Applicable Series Preferred Conversion Price shall be fixed as of the close of business on such record date and the number of shares of Common Stock shall be calculated immediately prior to the close of business on such record date; and</w:t>
      </w:r>
    </w:p>
    <w:p>
      <w:pPr>
        <w:spacing w:after="0" w:line="181" w:lineRule="exact"/>
        <w:rPr>
          <w:rFonts w:ascii="Arial" w:cs="Arial" w:eastAsia="Arial" w:hAnsi="Arial"/>
          <w:sz w:val="18"/>
          <w:szCs w:val="18"/>
          <w:b w:val="1"/>
          <w:bCs w:val="1"/>
          <w:color w:val="auto"/>
        </w:rPr>
      </w:pPr>
    </w:p>
    <w:p>
      <w:pPr>
        <w:ind w:right="80" w:firstLine="1948"/>
        <w:spacing w:after="0" w:line="312" w:lineRule="auto"/>
        <w:tabs>
          <w:tab w:leader="none" w:pos="2390" w:val="left"/>
        </w:tabs>
        <w:numPr>
          <w:ilvl w:val="1"/>
          <w:numId w:val="176"/>
        </w:numPr>
        <w:rPr>
          <w:rFonts w:ascii="Arial" w:cs="Arial" w:eastAsia="Arial" w:hAnsi="Arial"/>
          <w:sz w:val="16"/>
          <w:szCs w:val="16"/>
          <w:b w:val="1"/>
          <w:bCs w:val="1"/>
          <w:color w:val="auto"/>
        </w:rPr>
      </w:pPr>
      <w:r>
        <w:rPr>
          <w:rFonts w:ascii="Arial" w:cs="Arial" w:eastAsia="Arial" w:hAnsi="Arial"/>
          <w:sz w:val="16"/>
          <w:szCs w:val="16"/>
          <w:color w:val="auto"/>
        </w:rPr>
        <w:t>If such record date is fixed and such dividend is not fully paid or if such distribution is not fully made on the date fixed therefor, the Applicable Series Preferred Conversion Price shall be recomputed accordingly as of the close of business on such record date and thereafter the Applicable Series Preferred Conversion Price shall be adjusted pursuant to this Section 4(f) to reflect the actual payment of such dividend or distribution.</w:t>
      </w:r>
    </w:p>
    <w:p>
      <w:pPr>
        <w:spacing w:after="0" w:line="142" w:lineRule="exact"/>
        <w:rPr>
          <w:rFonts w:ascii="Arial" w:cs="Arial" w:eastAsia="Arial" w:hAnsi="Arial"/>
          <w:sz w:val="16"/>
          <w:szCs w:val="16"/>
          <w:b w:val="1"/>
          <w:bCs w:val="1"/>
          <w:color w:val="auto"/>
        </w:rPr>
      </w:pPr>
    </w:p>
    <w:p>
      <w:pPr>
        <w:jc w:val="both"/>
        <w:ind w:right="60" w:firstLine="1492"/>
        <w:spacing w:after="0" w:line="258" w:lineRule="auto"/>
        <w:tabs>
          <w:tab w:leader="none" w:pos="1873"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 for Reclassification, Exchange, Substitution, Reorganization, Merger or Consolidation. </w:t>
      </w:r>
      <w:r>
        <w:rPr>
          <w:rFonts w:ascii="Arial" w:cs="Arial" w:eastAsia="Arial" w:hAnsi="Arial"/>
          <w:sz w:val="18"/>
          <w:szCs w:val="18"/>
          <w:color w:val="auto"/>
        </w:rPr>
        <w:t>If at any time or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on or after the Effective Time the Common Stock issuable upon the conversion of the Series Preferred is changed into the same or a different number of shares of any class or classes of stock, whether by recapitalization, reclassification, merger, consolidation or otherwise (other than an Acquisition as defined in Section 3 or a subdivision or combination of shares or stock dividend provided for elsewhere in this Section 4), in any such event each share of Series Preferred shall</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0" w:right="319" w:bottom="1440" w:gutter="0" w:footer="0" w:header="0"/>
        </w:sectPr>
      </w:pPr>
    </w:p>
    <w:bookmarkStart w:id="253" w:name="page254"/>
    <w:bookmarkEnd w:id="25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thereafter be convertible in lieu of the Common Stock into which it was convertible prior to such event into the kind and amount of securities, cash or other property that a holder of the number of shares of Common Stock of the Company issuable upon conversion of one share of Series Preferred immediately prior to such recapitalization, reclassification, merger, consolidation or other transaction would have been entitled to receive pursuant to such transaction, all subject to further adjustment as provided herein or with respect to such other securities or property by the terms thereof. In any such case, appropriate adjustment shall be made in the application of the provisions of this Section 4 with respect to the rights of the holders of Series Preferred after the capital reorganization to the end that the provisions of this Section 4 (including adjustment of the Applicable Series Preferred Conversion Price then in effect and the number of shares issuable upon conversion of the Series Preferred) shall be applicable after that event and be as nearly equivalent as practicable.</w:t>
      </w:r>
    </w:p>
    <w:p>
      <w:pPr>
        <w:spacing w:after="0" w:line="271" w:lineRule="exact"/>
        <w:rPr>
          <w:sz w:val="20"/>
          <w:szCs w:val="20"/>
          <w:color w:val="auto"/>
        </w:rPr>
      </w:pPr>
    </w:p>
    <w:p>
      <w:pPr>
        <w:ind w:left="1900" w:hanging="408"/>
        <w:spacing w:after="0"/>
        <w:tabs>
          <w:tab w:leader="none" w:pos="190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Sale of Shares Below Series Preferred Conversion Price.</w:t>
      </w:r>
    </w:p>
    <w:p>
      <w:pPr>
        <w:spacing w:after="0" w:line="121" w:lineRule="exact"/>
        <w:rPr>
          <w:rFonts w:ascii="Arial" w:cs="Arial" w:eastAsia="Arial" w:hAnsi="Arial"/>
          <w:sz w:val="18"/>
          <w:szCs w:val="18"/>
          <w:b w:val="1"/>
          <w:bCs w:val="1"/>
          <w:color w:val="auto"/>
        </w:rPr>
      </w:pPr>
    </w:p>
    <w:p>
      <w:pPr>
        <w:ind w:right="100" w:firstLine="1948"/>
        <w:spacing w:after="0" w:line="255" w:lineRule="auto"/>
        <w:tabs>
          <w:tab w:leader="none" w:pos="2290"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on or after the Effective Time the Company issues or sells, or is deemed by the express provisions of this Section 4(h) to have issued or sold, Additional Shares of Common Stock (as defined below), other than as provided in Section 4(e), 4(f) or 4(g) above, for an Effective Price (as defined below) less than the then effective Applicable Series Preferred Conversion Price (a “</w:t>
      </w:r>
      <w:r>
        <w:rPr>
          <w:rFonts w:ascii="Arial" w:cs="Arial" w:eastAsia="Arial" w:hAnsi="Arial"/>
          <w:sz w:val="18"/>
          <w:szCs w:val="18"/>
          <w:b w:val="1"/>
          <w:bCs w:val="1"/>
          <w:i w:val="1"/>
          <w:iCs w:val="1"/>
          <w:color w:val="auto"/>
        </w:rPr>
        <w:t>Qualifying Dilutive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Issuance</w:t>
      </w:r>
      <w:r>
        <w:rPr>
          <w:rFonts w:ascii="Arial" w:cs="Arial" w:eastAsia="Arial" w:hAnsi="Arial"/>
          <w:sz w:val="18"/>
          <w:szCs w:val="18"/>
          <w:color w:val="auto"/>
        </w:rPr>
        <w:t>”), then and in each such case, the then existing Applicable Series Preferred Conversion Price shall be reduced, as of the opening of business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such issue or sale, to a price determined by multiplying the Applicable Series Preferred Conversion Price in effect immediately prior to such issuance or sale by a fraction:</w:t>
      </w:r>
    </w:p>
    <w:p>
      <w:pPr>
        <w:spacing w:after="0" w:line="193" w:lineRule="exact"/>
        <w:rPr>
          <w:rFonts w:ascii="Arial" w:cs="Arial" w:eastAsia="Arial" w:hAnsi="Arial"/>
          <w:sz w:val="18"/>
          <w:szCs w:val="18"/>
          <w:b w:val="1"/>
          <w:bCs w:val="1"/>
          <w:color w:val="auto"/>
        </w:rPr>
      </w:pPr>
    </w:p>
    <w:p>
      <w:pPr>
        <w:ind w:firstLine="2404"/>
        <w:spacing w:after="0" w:line="259" w:lineRule="auto"/>
        <w:tabs>
          <w:tab w:leader="none" w:pos="2826" w:val="left"/>
        </w:tabs>
        <w:numPr>
          <w:ilvl w:val="2"/>
          <w:numId w:val="177"/>
        </w:numPr>
        <w:rPr>
          <w:rFonts w:ascii="Arial" w:cs="Arial" w:eastAsia="Arial" w:hAnsi="Arial"/>
          <w:sz w:val="18"/>
          <w:szCs w:val="18"/>
          <w:b w:val="1"/>
          <w:bCs w:val="1"/>
          <w:color w:val="auto"/>
        </w:rPr>
      </w:pPr>
      <w:r>
        <w:rPr>
          <w:rFonts w:ascii="Arial" w:cs="Arial" w:eastAsia="Arial" w:hAnsi="Arial"/>
          <w:sz w:val="18"/>
          <w:szCs w:val="18"/>
          <w:color w:val="auto"/>
        </w:rPr>
        <w:t>the numerator of which shall be (A) the number of shares of Common Stock deemed outstanding (as determined below) immediately prior to such issue or sale, plus (B) the number of shares of Common Stock that the Aggregate Consideration (as defined below) received or deemed received by the Company for the total number of Additional Shares of Common Stock so issued would purchase at such then-existing Applicable Series Preferred Conversion Price, and</w:t>
      </w:r>
    </w:p>
    <w:p>
      <w:pPr>
        <w:spacing w:after="0" w:line="186" w:lineRule="exact"/>
        <w:rPr>
          <w:rFonts w:ascii="Arial" w:cs="Arial" w:eastAsia="Arial" w:hAnsi="Arial"/>
          <w:sz w:val="18"/>
          <w:szCs w:val="18"/>
          <w:b w:val="1"/>
          <w:bCs w:val="1"/>
          <w:color w:val="auto"/>
        </w:rPr>
      </w:pPr>
    </w:p>
    <w:p>
      <w:pPr>
        <w:ind w:right="60" w:firstLine="2404"/>
        <w:spacing w:after="0" w:line="277" w:lineRule="auto"/>
        <w:tabs>
          <w:tab w:leader="none" w:pos="2816" w:val="left"/>
        </w:tabs>
        <w:numPr>
          <w:ilvl w:val="2"/>
          <w:numId w:val="177"/>
        </w:numPr>
        <w:rPr>
          <w:rFonts w:ascii="Arial" w:cs="Arial" w:eastAsia="Arial" w:hAnsi="Arial"/>
          <w:sz w:val="18"/>
          <w:szCs w:val="18"/>
          <w:b w:val="1"/>
          <w:bCs w:val="1"/>
          <w:color w:val="auto"/>
        </w:rPr>
      </w:pPr>
      <w:r>
        <w:rPr>
          <w:rFonts w:ascii="Arial" w:cs="Arial" w:eastAsia="Arial" w:hAnsi="Arial"/>
          <w:sz w:val="18"/>
          <w:szCs w:val="18"/>
          <w:color w:val="auto"/>
        </w:rPr>
        <w:t>the denominator of which shall be the number of shares of Common Stock deemed outstanding (as determined below) immediately prior to such issue or sale plus the total number of Additional Shares of Common Stock so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purposes of the preceding sentence, the number of shares of Common Stock deemed to be outstanding as of a given date shall be the sum of</w:t>
      </w:r>
    </w:p>
    <w:p>
      <w:pPr>
        <w:spacing w:after="0" w:line="46" w:lineRule="exact"/>
        <w:rPr>
          <w:sz w:val="20"/>
          <w:szCs w:val="20"/>
          <w:color w:val="auto"/>
        </w:rPr>
      </w:pPr>
    </w:p>
    <w:p>
      <w:pPr>
        <w:ind w:right="200" w:firstLine="8"/>
        <w:spacing w:after="0" w:line="302" w:lineRule="auto"/>
        <w:tabs>
          <w:tab w:leader="none" w:pos="29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number of shares of Common Stock outstanding, (B) the number of shares of Common Stock into which the then outstanding shares of Series Preferred could be converted if fully converted on the day immediately preceding the given date, and (C) the number of shares of Common Stock that are issuable upon the exercise or conversion of all other rights, options and convertible securities outstanding on the day immediately preceding the given date.</w:t>
      </w:r>
    </w:p>
    <w:p>
      <w:pPr>
        <w:spacing w:after="0" w:line="155" w:lineRule="exact"/>
        <w:rPr>
          <w:rFonts w:ascii="Arial" w:cs="Arial" w:eastAsia="Arial" w:hAnsi="Arial"/>
          <w:sz w:val="16"/>
          <w:szCs w:val="16"/>
          <w:color w:val="auto"/>
        </w:rPr>
      </w:pPr>
    </w:p>
    <w:p>
      <w:pPr>
        <w:ind w:right="60" w:firstLine="1948"/>
        <w:spacing w:after="0" w:line="277" w:lineRule="auto"/>
        <w:tabs>
          <w:tab w:leader="none" w:pos="2340"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t>No adjustment shall be made to the Applicable Series Preferred Conversion Price in an amount less than one percent (1%) of the Applicable Series Preferred Conversion Price then in effect. Any adjustment otherwise required by this Section 4(h)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54" w:name="page255"/>
    <w:bookmarkEnd w:id="254"/>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is not required to be made due to the first sentence of this subsection (ii) shall be included in any subsequent adjustment to the Applicable Series Preferred Conversion Price. Any adjustment required by this Section 4(h) shall be rounded to the first decimal for which such rounding represents less than one percent (1%) of the Applicable Series Preferred Conversion Price in effect after such adjustment.</w:t>
      </w:r>
    </w:p>
    <w:p>
      <w:pPr>
        <w:spacing w:after="0" w:line="181" w:lineRule="exact"/>
        <w:rPr>
          <w:sz w:val="20"/>
          <w:szCs w:val="20"/>
          <w:color w:val="auto"/>
        </w:rPr>
      </w:pPr>
    </w:p>
    <w:p>
      <w:pPr>
        <w:ind w:firstLine="1948"/>
        <w:spacing w:after="0" w:line="290" w:lineRule="auto"/>
        <w:tabs>
          <w:tab w:leader="none" w:pos="2390" w:val="left"/>
        </w:tabs>
        <w:numPr>
          <w:ilvl w:val="0"/>
          <w:numId w:val="179"/>
        </w:numPr>
        <w:rPr>
          <w:rFonts w:ascii="Arial" w:cs="Arial" w:eastAsia="Arial" w:hAnsi="Arial"/>
          <w:sz w:val="16"/>
          <w:szCs w:val="16"/>
          <w:b w:val="1"/>
          <w:bCs w:val="1"/>
          <w:color w:val="auto"/>
        </w:rPr>
      </w:pPr>
      <w:r>
        <w:rPr>
          <w:rFonts w:ascii="Arial" w:cs="Arial" w:eastAsia="Arial" w:hAnsi="Arial"/>
          <w:sz w:val="16"/>
          <w:szCs w:val="16"/>
          <w:color w:val="auto"/>
        </w:rPr>
        <w:t>For the purpose of making any adjustment required under this Section 4(h), the aggregate consideration received by the Company for any issue or sale of securities (the “</w:t>
      </w:r>
      <w:r>
        <w:rPr>
          <w:rFonts w:ascii="Arial" w:cs="Arial" w:eastAsia="Arial" w:hAnsi="Arial"/>
          <w:sz w:val="16"/>
          <w:szCs w:val="16"/>
          <w:b w:val="1"/>
          <w:bCs w:val="1"/>
          <w:i w:val="1"/>
          <w:iCs w:val="1"/>
          <w:color w:val="auto"/>
        </w:rPr>
        <w:t>Aggregate Consideration</w:t>
      </w:r>
      <w:r>
        <w:rPr>
          <w:rFonts w:ascii="Arial" w:cs="Arial" w:eastAsia="Arial" w:hAnsi="Arial"/>
          <w:sz w:val="16"/>
          <w:szCs w:val="16"/>
          <w:color w:val="auto"/>
        </w:rPr>
        <w:t>”) shall be defined as: (A) to the extent it consists of cash, the gross amount of cash received by the Company before deduction of any underwriting or similar commissions, compensation or concessions paid or allowed by the Company in connection with such issue or sale and without deduction of any expenses payable by the Company, (B) to the extent it consists of property other than cash, the fair market value of that property as determined in good faith by the Board,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that covers both, the portion of the consideration so received that may be reasonably determined in good faith by the Board to be allocable to such Additional Shares of Common Stock, Convertible Securities or rights or options.</w:t>
      </w:r>
    </w:p>
    <w:p>
      <w:pPr>
        <w:spacing w:after="0" w:line="166" w:lineRule="exact"/>
        <w:rPr>
          <w:rFonts w:ascii="Arial" w:cs="Arial" w:eastAsia="Arial" w:hAnsi="Arial"/>
          <w:sz w:val="16"/>
          <w:szCs w:val="16"/>
          <w:b w:val="1"/>
          <w:bCs w:val="1"/>
          <w:color w:val="auto"/>
        </w:rPr>
      </w:pPr>
    </w:p>
    <w:p>
      <w:pPr>
        <w:ind w:right="40" w:firstLine="1948"/>
        <w:spacing w:after="0" w:line="254" w:lineRule="auto"/>
        <w:tabs>
          <w:tab w:leader="none" w:pos="2380"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For the purpose of the adjustment required under this Section 4(h), if the Company issues or sells (x) Preferred Stock or other stock, options, warrants, purchase rights or other securities exercisable for or convertible into, Additional Shares of Common Stock (such convertible stock or securities being herein referred to as “</w:t>
      </w:r>
      <w:r>
        <w:rPr>
          <w:rFonts w:ascii="Arial" w:cs="Arial" w:eastAsia="Arial" w:hAnsi="Arial"/>
          <w:sz w:val="18"/>
          <w:szCs w:val="18"/>
          <w:b w:val="1"/>
          <w:bCs w:val="1"/>
          <w:i w:val="1"/>
          <w:iCs w:val="1"/>
          <w:color w:val="auto"/>
        </w:rPr>
        <w:t>Convertible Securities</w:t>
      </w:r>
      <w:r>
        <w:rPr>
          <w:rFonts w:ascii="Arial" w:cs="Arial" w:eastAsia="Arial" w:hAnsi="Arial"/>
          <w:sz w:val="18"/>
          <w:szCs w:val="18"/>
          <w:color w:val="auto"/>
        </w:rPr>
        <w:t>”) or (y) rights or options for the purchase of Additional Shares of Common Stock or Convertible Securities and if the Effective Price of such Additional Shares of Common Stock is less than the Applicable Series Preferred Conversion Price,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92" w:lineRule="exact"/>
        <w:rPr>
          <w:rFonts w:ascii="Arial" w:cs="Arial" w:eastAsia="Arial" w:hAnsi="Arial"/>
          <w:sz w:val="18"/>
          <w:szCs w:val="18"/>
          <w:b w:val="1"/>
          <w:bCs w:val="1"/>
          <w:color w:val="auto"/>
        </w:rPr>
      </w:pPr>
    </w:p>
    <w:p>
      <w:pPr>
        <w:ind w:left="2840" w:hanging="436"/>
        <w:spacing w:after="0"/>
        <w:tabs>
          <w:tab w:leader="none" w:pos="2840" w:val="left"/>
        </w:tabs>
        <w:numPr>
          <w:ilvl w:val="1"/>
          <w:numId w:val="179"/>
        </w:numPr>
        <w:rPr>
          <w:rFonts w:ascii="Arial" w:cs="Arial" w:eastAsia="Arial" w:hAnsi="Arial"/>
          <w:sz w:val="16"/>
          <w:szCs w:val="16"/>
          <w:b w:val="1"/>
          <w:bCs w:val="1"/>
          <w:color w:val="auto"/>
        </w:rPr>
      </w:pPr>
      <w:r>
        <w:rPr>
          <w:rFonts w:ascii="Arial" w:cs="Arial" w:eastAsia="Arial" w:hAnsi="Arial"/>
          <w:sz w:val="16"/>
          <w:szCs w:val="16"/>
          <w:color w:val="auto"/>
        </w:rPr>
        <w:t>in the case of such rights or options, the minimum amounts of consideration, if any, payable to the Company upon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exercise of such rights or options; and</w:t>
      </w:r>
    </w:p>
    <w:p>
      <w:pPr>
        <w:spacing w:after="0" w:line="210" w:lineRule="exact"/>
        <w:rPr>
          <w:rFonts w:ascii="Arial" w:cs="Arial" w:eastAsia="Arial" w:hAnsi="Arial"/>
          <w:sz w:val="16"/>
          <w:szCs w:val="16"/>
          <w:b w:val="1"/>
          <w:bCs w:val="1"/>
          <w:color w:val="auto"/>
        </w:rPr>
      </w:pPr>
    </w:p>
    <w:p>
      <w:pPr>
        <w:jc w:val="both"/>
        <w:ind w:firstLine="2404"/>
        <w:spacing w:after="0" w:line="259" w:lineRule="auto"/>
        <w:tabs>
          <w:tab w:leader="none" w:pos="2816" w:val="left"/>
        </w:tabs>
        <w:numPr>
          <w:ilvl w:val="1"/>
          <w:numId w:val="179"/>
        </w:numPr>
        <w:rPr>
          <w:rFonts w:ascii="Arial" w:cs="Arial" w:eastAsia="Arial" w:hAnsi="Arial"/>
          <w:sz w:val="18"/>
          <w:szCs w:val="18"/>
          <w:b w:val="1"/>
          <w:bCs w:val="1"/>
          <w:color w:val="auto"/>
        </w:rPr>
      </w:pPr>
      <w:r>
        <w:rPr>
          <w:rFonts w:ascii="Arial" w:cs="Arial" w:eastAsia="Arial" w:hAnsi="Arial"/>
          <w:sz w:val="18"/>
          <w:szCs w:val="18"/>
          <w:color w:val="auto"/>
        </w:rPr>
        <w:t xml:space="preserve">in the case of Convertible Securities, the minimum amounts of consideration, if any, payable to the Company upon the conversion thereof (other than by cancellation of liabilities or obligations evidenced by such Convertible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5" w:name="page256"/>
    <w:bookmarkEnd w:id="255"/>
    <w:p>
      <w:pPr>
        <w:ind w:firstLine="2404"/>
        <w:spacing w:after="0" w:line="255" w:lineRule="auto"/>
        <w:tabs>
          <w:tab w:leader="none" w:pos="2826" w:val="left"/>
        </w:tabs>
        <w:numPr>
          <w:ilvl w:val="1"/>
          <w:numId w:val="18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93" w:lineRule="exact"/>
        <w:rPr>
          <w:rFonts w:ascii="Arial" w:cs="Arial" w:eastAsia="Arial" w:hAnsi="Arial"/>
          <w:sz w:val="18"/>
          <w:szCs w:val="18"/>
          <w:b w:val="1"/>
          <w:bCs w:val="1"/>
          <w:color w:val="auto"/>
        </w:rPr>
      </w:pPr>
    </w:p>
    <w:p>
      <w:pPr>
        <w:ind w:right="20" w:firstLine="2404"/>
        <w:spacing w:after="0" w:line="269" w:lineRule="auto"/>
        <w:tabs>
          <w:tab w:leader="none" w:pos="2826" w:val="left"/>
        </w:tabs>
        <w:numPr>
          <w:ilvl w:val="1"/>
          <w:numId w:val="180"/>
        </w:numPr>
        <w:rPr>
          <w:rFonts w:ascii="Arial" w:cs="Arial" w:eastAsia="Arial" w:hAnsi="Arial"/>
          <w:sz w:val="17"/>
          <w:szCs w:val="17"/>
          <w:b w:val="1"/>
          <w:bCs w:val="1"/>
          <w:color w:val="auto"/>
        </w:rPr>
      </w:pPr>
      <w:r>
        <w:rPr>
          <w:rFonts w:ascii="Arial" w:cs="Arial" w:eastAsia="Arial" w:hAnsi="Arial"/>
          <w:sz w:val="17"/>
          <w:szCs w:val="17"/>
          <w:color w:val="auto"/>
        </w:rPr>
        <w:t xml:space="preserve">No further adjustment of the Applicable Series Preferred Conversion Price,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the Applicable Series Preferred Conversion Price as adjusted upon the issuance of such rights, options or Convertible Securities shall be readjusted to the Applicable Series Preferred Conversion Price that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readjustment shall not apply to prior conversions of Series Preferred.</w:t>
      </w:r>
    </w:p>
    <w:p>
      <w:pPr>
        <w:spacing w:after="0" w:line="179" w:lineRule="exact"/>
        <w:rPr>
          <w:rFonts w:ascii="Arial" w:cs="Arial" w:eastAsia="Arial" w:hAnsi="Arial"/>
          <w:sz w:val="17"/>
          <w:szCs w:val="17"/>
          <w:b w:val="1"/>
          <w:bCs w:val="1"/>
          <w:color w:val="auto"/>
        </w:rPr>
      </w:pPr>
    </w:p>
    <w:p>
      <w:pPr>
        <w:ind w:left="2340" w:hanging="392"/>
        <w:spacing w:after="0"/>
        <w:tabs>
          <w:tab w:leader="none" w:pos="2340" w:val="left"/>
        </w:tabs>
        <w:numPr>
          <w:ilvl w:val="0"/>
          <w:numId w:val="181"/>
        </w:numPr>
        <w:rPr>
          <w:rFonts w:ascii="Arial" w:cs="Arial" w:eastAsia="Arial" w:hAnsi="Arial"/>
          <w:sz w:val="16"/>
          <w:szCs w:val="16"/>
          <w:b w:val="1"/>
          <w:bCs w:val="1"/>
          <w:color w:val="auto"/>
        </w:rPr>
      </w:pPr>
      <w:r>
        <w:rPr>
          <w:rFonts w:ascii="Arial" w:cs="Arial" w:eastAsia="Arial" w:hAnsi="Arial"/>
          <w:sz w:val="16"/>
          <w:szCs w:val="16"/>
          <w:color w:val="auto"/>
        </w:rPr>
        <w:t>For the purpose of making any adjustment to the Conversion Price of the Series Preferred required under this Section 4(h),</w:t>
      </w:r>
    </w:p>
    <w:p>
      <w:pPr>
        <w:spacing w:after="0" w:line="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Shares of Common Stock</w:t>
      </w:r>
      <w:r>
        <w:rPr>
          <w:rFonts w:ascii="Arial" w:cs="Arial" w:eastAsia="Arial" w:hAnsi="Arial"/>
          <w:sz w:val="18"/>
          <w:szCs w:val="18"/>
          <w:color w:val="auto"/>
        </w:rPr>
        <w:t>” shall mean all shares of Common Stock issued by the Company or deemed to be issued pursuant to this Section 4(h) (including shares of Common Stock subsequently reacquired or retired by the Company), other than (the following exceptions, collectively, “</w:t>
      </w:r>
      <w:r>
        <w:rPr>
          <w:rFonts w:ascii="Arial" w:cs="Arial" w:eastAsia="Arial" w:hAnsi="Arial"/>
          <w:sz w:val="18"/>
          <w:szCs w:val="18"/>
          <w:b w:val="1"/>
          <w:bCs w:val="1"/>
          <w:i w:val="1"/>
          <w:iCs w:val="1"/>
          <w:color w:val="auto"/>
        </w:rPr>
        <w:t>Excluded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Issuances</w:t>
      </w:r>
      <w:r>
        <w:rPr>
          <w:rFonts w:ascii="Arial" w:cs="Arial" w:eastAsia="Arial" w:hAnsi="Arial"/>
          <w:sz w:val="18"/>
          <w:szCs w:val="18"/>
          <w:color w:val="auto"/>
        </w:rPr>
        <w:t>”):</w:t>
      </w:r>
    </w:p>
    <w:p>
      <w:pPr>
        <w:spacing w:after="0" w:line="190" w:lineRule="exact"/>
        <w:rPr>
          <w:sz w:val="20"/>
          <w:szCs w:val="20"/>
          <w:color w:val="auto"/>
        </w:rPr>
      </w:pPr>
    </w:p>
    <w:p>
      <w:pPr>
        <w:ind w:left="2840" w:hanging="436"/>
        <w:spacing w:after="0"/>
        <w:tabs>
          <w:tab w:leader="none" w:pos="2840"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upon conversion of the Series Preferred;</w:t>
      </w:r>
    </w:p>
    <w:p>
      <w:pPr>
        <w:spacing w:after="0" w:line="225" w:lineRule="exact"/>
        <w:rPr>
          <w:rFonts w:ascii="Arial" w:cs="Arial" w:eastAsia="Arial" w:hAnsi="Arial"/>
          <w:sz w:val="18"/>
          <w:szCs w:val="18"/>
          <w:b w:val="1"/>
          <w:bCs w:val="1"/>
          <w:color w:val="auto"/>
        </w:rPr>
      </w:pPr>
    </w:p>
    <w:p>
      <w:pPr>
        <w:jc w:val="both"/>
        <w:ind w:right="160" w:firstLine="2404"/>
        <w:spacing w:after="0" w:line="286" w:lineRule="auto"/>
        <w:tabs>
          <w:tab w:leader="none" w:pos="2816" w:val="left"/>
        </w:tabs>
        <w:numPr>
          <w:ilvl w:val="0"/>
          <w:numId w:val="182"/>
        </w:numPr>
        <w:rPr>
          <w:rFonts w:ascii="Arial" w:cs="Arial" w:eastAsia="Arial" w:hAnsi="Arial"/>
          <w:sz w:val="17"/>
          <w:szCs w:val="17"/>
          <w:b w:val="1"/>
          <w:bCs w:val="1"/>
          <w:color w:val="auto"/>
        </w:rPr>
      </w:pPr>
      <w:r>
        <w:rPr>
          <w:rFonts w:ascii="Arial" w:cs="Arial" w:eastAsia="Arial" w:hAnsi="Arial"/>
          <w:sz w:val="17"/>
          <w:szCs w:val="17"/>
          <w:color w:val="auto"/>
        </w:rPr>
        <w:t>shares of Common Stock or Convertible Securities issued after the Effective Time to employees, officers or directors of, or consultants or advisors to the Company or any subsidiary pursuant to stock purchase or stock option plans or other arrangements that are approved by the Board, including at least two (2) of the directors designated by holders of the Preferred Stock voting as a separate class;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56" w:name="page257"/>
    <w:bookmarkEnd w:id="256"/>
    <w:p>
      <w:pPr>
        <w:ind w:left="2840" w:hanging="436"/>
        <w:spacing w:after="0"/>
        <w:tabs>
          <w:tab w:leader="none" w:pos="2840" w:val="left"/>
        </w:tabs>
        <w:numPr>
          <w:ilvl w:val="0"/>
          <w:numId w:val="18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of Common Stock issued pursuant to the exercise or conversion of Convertible Securities outstanding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Time;</w:t>
      </w:r>
    </w:p>
    <w:p>
      <w:pPr>
        <w:spacing w:after="0" w:line="211" w:lineRule="exact"/>
        <w:rPr>
          <w:sz w:val="20"/>
          <w:szCs w:val="20"/>
          <w:color w:val="auto"/>
        </w:rPr>
      </w:pPr>
    </w:p>
    <w:p>
      <w:pPr>
        <w:ind w:right="140" w:firstLine="2404"/>
        <w:spacing w:after="0" w:line="264" w:lineRule="auto"/>
        <w:tabs>
          <w:tab w:leader="none" w:pos="2826"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for consideration other than cash pursuant to a merger, consolidation, acquisition, strategic alliance or similar business combination approved by the Board, including at least two (2) of the directors designated by holders of the Preferred Stock voting as a separate class;</w:t>
      </w:r>
    </w:p>
    <w:p>
      <w:pPr>
        <w:spacing w:after="0" w:line="181" w:lineRule="exact"/>
        <w:rPr>
          <w:rFonts w:ascii="Arial" w:cs="Arial" w:eastAsia="Arial" w:hAnsi="Arial"/>
          <w:sz w:val="18"/>
          <w:szCs w:val="18"/>
          <w:b w:val="1"/>
          <w:bCs w:val="1"/>
          <w:color w:val="auto"/>
        </w:rPr>
      </w:pPr>
    </w:p>
    <w:p>
      <w:pPr>
        <w:jc w:val="both"/>
        <w:ind w:right="60" w:firstLine="2404"/>
        <w:spacing w:after="0" w:line="264" w:lineRule="auto"/>
        <w:tabs>
          <w:tab w:leader="none" w:pos="2816"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pursuant to any equipment loan or leasing arrangement, real property leasing arrangement or debt financing from a bank or similar financial or lending institution approved by the Board, including at least two (2) of the directors designated by holders of the Preferred Stock voting as a separate class;</w:t>
      </w:r>
    </w:p>
    <w:p>
      <w:pPr>
        <w:spacing w:after="0" w:line="181" w:lineRule="exact"/>
        <w:rPr>
          <w:rFonts w:ascii="Arial" w:cs="Arial" w:eastAsia="Arial" w:hAnsi="Arial"/>
          <w:sz w:val="18"/>
          <w:szCs w:val="18"/>
          <w:b w:val="1"/>
          <w:bCs w:val="1"/>
          <w:color w:val="auto"/>
        </w:rPr>
      </w:pPr>
    </w:p>
    <w:p>
      <w:pPr>
        <w:ind w:right="100" w:firstLine="2404"/>
        <w:spacing w:after="0" w:line="264" w:lineRule="auto"/>
        <w:tabs>
          <w:tab w:leader="none" w:pos="2806"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to third-party service providers in exchange for or as partial consideration for services rendered to the Company as approved by the Board, including at least two (2) of the directors designated by holders of the Preferred Stock voting as a separate class;</w:t>
      </w:r>
    </w:p>
    <w:p>
      <w:pPr>
        <w:spacing w:after="0" w:line="181" w:lineRule="exact"/>
        <w:rPr>
          <w:rFonts w:ascii="Arial" w:cs="Arial" w:eastAsia="Arial" w:hAnsi="Arial"/>
          <w:sz w:val="18"/>
          <w:szCs w:val="18"/>
          <w:b w:val="1"/>
          <w:bCs w:val="1"/>
          <w:color w:val="auto"/>
        </w:rPr>
      </w:pPr>
    </w:p>
    <w:p>
      <w:pPr>
        <w:ind w:firstLine="2404"/>
        <w:spacing w:after="0" w:line="286" w:lineRule="auto"/>
        <w:tabs>
          <w:tab w:leader="none" w:pos="2836" w:val="left"/>
        </w:tabs>
        <w:numPr>
          <w:ilvl w:val="0"/>
          <w:numId w:val="184"/>
        </w:numPr>
        <w:rPr>
          <w:rFonts w:ascii="Arial" w:cs="Arial" w:eastAsia="Arial" w:hAnsi="Arial"/>
          <w:sz w:val="17"/>
          <w:szCs w:val="17"/>
          <w:b w:val="1"/>
          <w:bCs w:val="1"/>
          <w:color w:val="auto"/>
        </w:rPr>
      </w:pPr>
      <w:r>
        <w:rPr>
          <w:rFonts w:ascii="Arial" w:cs="Arial" w:eastAsia="Arial" w:hAnsi="Arial"/>
          <w:sz w:val="17"/>
          <w:szCs w:val="17"/>
          <w:color w:val="auto"/>
        </w:rPr>
        <w:t>shares of Common Stock or Convertible Securities issued in connection with strategic transactions involving the Company and other entities approved by the Board, including at least two (2) of the directors designated by holders of the Preferred Stock voting as a separate class, including without limitation joint ventures, manufacturing, marketing, distribution, technology transfer or development arrangements; and</w:t>
      </w:r>
    </w:p>
    <w:p>
      <w:pPr>
        <w:spacing w:after="0" w:line="165" w:lineRule="exact"/>
        <w:rPr>
          <w:rFonts w:ascii="Arial" w:cs="Arial" w:eastAsia="Arial" w:hAnsi="Arial"/>
          <w:sz w:val="17"/>
          <w:szCs w:val="17"/>
          <w:b w:val="1"/>
          <w:bCs w:val="1"/>
          <w:color w:val="auto"/>
        </w:rPr>
      </w:pPr>
    </w:p>
    <w:p>
      <w:pPr>
        <w:ind w:right="40" w:firstLine="2404"/>
        <w:spacing w:after="0" w:line="273" w:lineRule="auto"/>
        <w:tabs>
          <w:tab w:leader="none" w:pos="2836" w:val="left"/>
        </w:tabs>
        <w:numPr>
          <w:ilvl w:val="0"/>
          <w:numId w:val="184"/>
        </w:numPr>
        <w:rPr>
          <w:rFonts w:ascii="Arial" w:cs="Arial" w:eastAsia="Arial" w:hAnsi="Arial"/>
          <w:sz w:val="17"/>
          <w:szCs w:val="17"/>
          <w:b w:val="1"/>
          <w:bCs w:val="1"/>
          <w:color w:val="auto"/>
        </w:rPr>
      </w:pPr>
      <w:r>
        <w:rPr>
          <w:rFonts w:ascii="Arial" w:cs="Arial" w:eastAsia="Arial" w:hAnsi="Arial"/>
          <w:sz w:val="17"/>
          <w:szCs w:val="17"/>
          <w:color w:val="auto"/>
        </w:rPr>
        <w:t>shares of Common Stock or Convertible Securities that (i) with respect to the Conversion Price of the Series A-1 Preferred, the holders of at least 66 2/3% of the outstanding shares of Series A-1 Preferred elect in writing to exclude from the definition of “Additional Shares of Common Stock” for purposes of this Section 4; (ii) with respect to the Conversion Price of the Series A-2 Preferred, the holders of at least 66 2/3% of the outstanding shares of Series A-2 Preferred elect in writing to exclude from the definition of “Additional Shares of Common Stock” for purposes of this Section 4; or (iii) with respect to the Conversion Price of the Series B Preferred, the holders of at least 75% of the outstanding Series B Preferred elect in writing to exclude from the definition of “Additional Shares of Common Stock” for purposes of this Section 4.</w:t>
      </w:r>
    </w:p>
    <w:p>
      <w:pPr>
        <w:spacing w:after="0" w:line="178"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References to Common Stock in the subsections of this clause (v) above shall mean all shares of Common Stock issued by the Company or deemed to be issued pursuant to this Section 4(h). The “</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of Additional Shares of Common Stock shall mean the quotient determined by dividing the total number of Additional Shares of Common Stock issued or sold, or deemed to have been issued or sold by the Company under this Section 4(h), into the Aggregate Consideration received, or deemed to have been received by the Company for such issue under this Section 4(h), for such Additional Shares of Common Stock. In the event that the number of shares of Additional Shares of Common Stock or the Effective Price cannot be ascertained at the time of issuance, such Additional Shares of Common Stock shall be deemed issued immediately upon the occurrence of the first event that makes such number of shares or the Effective Price, as applicable, ascertainable.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57" w:name="page258"/>
    <w:bookmarkEnd w:id="257"/>
    <w:p>
      <w:pPr>
        <w:ind w:left="-20" w:firstLine="2404"/>
        <w:spacing w:after="0" w:line="293" w:lineRule="auto"/>
        <w:tabs>
          <w:tab w:leader="none" w:pos="2816" w:val="left"/>
        </w:tabs>
        <w:numPr>
          <w:ilvl w:val="1"/>
          <w:numId w:val="18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Company issues or sells, or is deemed to have issued or sold, Additional Shares of Common Stock in a Qualifying Dilutive Issuance (the “</w:t>
      </w:r>
      <w:r>
        <w:rPr>
          <w:rFonts w:ascii="Arial" w:cs="Arial" w:eastAsia="Arial" w:hAnsi="Arial"/>
          <w:sz w:val="16"/>
          <w:szCs w:val="16"/>
          <w:b w:val="1"/>
          <w:bCs w:val="1"/>
          <w:i w:val="1"/>
          <w:iCs w:val="1"/>
          <w:color w:val="auto"/>
        </w:rPr>
        <w:t>First Dilutive Issuance</w:t>
      </w:r>
      <w:r>
        <w:rPr>
          <w:rFonts w:ascii="Arial" w:cs="Arial" w:eastAsia="Arial" w:hAnsi="Arial"/>
          <w:sz w:val="16"/>
          <w:szCs w:val="16"/>
          <w:color w:val="auto"/>
        </w:rPr>
        <w:t>”), then in the event that the Company issues or sells, or is deemed to have issued or sold, Additional Shares of Common Stock in a Qualifying Dilutive Issuance other than the First Dilutive Issuance as a part of the same transaction or series of related transactions as the First Dilutive Issuance (a “</w:t>
      </w:r>
      <w:r>
        <w:rPr>
          <w:rFonts w:ascii="Arial" w:cs="Arial" w:eastAsia="Arial" w:hAnsi="Arial"/>
          <w:sz w:val="16"/>
          <w:szCs w:val="16"/>
          <w:b w:val="1"/>
          <w:bCs w:val="1"/>
          <w:i w:val="1"/>
          <w:iCs w:val="1"/>
          <w:color w:val="auto"/>
        </w:rPr>
        <w:t>Subsequent Dilutive Issuance</w:t>
      </w:r>
      <w:r>
        <w:rPr>
          <w:rFonts w:ascii="Arial" w:cs="Arial" w:eastAsia="Arial" w:hAnsi="Arial"/>
          <w:sz w:val="16"/>
          <w:szCs w:val="16"/>
          <w:color w:val="auto"/>
        </w:rPr>
        <w:t>”), then and in each such case upon a Subsequent Dilutive Issuance the Applicable Series Preferred Conversion Price shall be reduced to the Applicable Series Preferred Conversion Price that would have been in effect had the First Dilutive Issuance and each Subsequent Dilutive Issuance all occurred on the closing date of the First Dilutive Issuance.</w:t>
      </w:r>
    </w:p>
    <w:p>
      <w:pPr>
        <w:spacing w:after="0" w:line="160" w:lineRule="exact"/>
        <w:rPr>
          <w:rFonts w:ascii="Arial" w:cs="Arial" w:eastAsia="Arial" w:hAnsi="Arial"/>
          <w:sz w:val="16"/>
          <w:szCs w:val="16"/>
          <w:b w:val="1"/>
          <w:bCs w:val="1"/>
          <w:color w:val="auto"/>
        </w:rPr>
      </w:pPr>
    </w:p>
    <w:p>
      <w:pPr>
        <w:ind w:left="-20" w:right="20" w:firstLine="1948"/>
        <w:spacing w:after="0" w:line="270" w:lineRule="auto"/>
        <w:tabs>
          <w:tab w:leader="none" w:pos="2270"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Certificate of Adjustment. </w:t>
      </w:r>
      <w:r>
        <w:rPr>
          <w:rFonts w:ascii="Arial" w:cs="Arial" w:eastAsia="Arial" w:hAnsi="Arial"/>
          <w:sz w:val="17"/>
          <w:szCs w:val="17"/>
          <w:color w:val="auto"/>
        </w:rPr>
        <w:t>In each case of an adjustment or readjustment of the Applicable Series Preferred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Price for the number of shares of Common Stock or other securities issuable upon conversion of the Series Preferred, if the Series Preferred is then convertible pursuant to this Section 4, the Company, at its expense, shall compute such adjustment or readjustment in accordance with the provisions hereof and shall, upon request, prepare a certificate showing such adjustment or readjustment, and shall mail such certificate, by first class mail, postage prepaid, to each registered holder of Series Preferred so requesting at the holder’s address as shown in the Company’s books. The certificate shall set forth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the Applicable Series Preferred Conversion Price at the time in effect, (iii) the number of Additional Shares of Common Stock and (iv) the type and amount, if any, of other property that at the time would be received upon conversion of the Series Preferred. Failure to request or provide such notice shall have no effect on any such adjustment.</w:t>
      </w:r>
    </w:p>
    <w:p>
      <w:pPr>
        <w:spacing w:after="0" w:line="177" w:lineRule="exact"/>
        <w:rPr>
          <w:rFonts w:ascii="Arial" w:cs="Arial" w:eastAsia="Arial" w:hAnsi="Arial"/>
          <w:sz w:val="17"/>
          <w:szCs w:val="17"/>
          <w:b w:val="1"/>
          <w:bCs w:val="1"/>
          <w:color w:val="auto"/>
        </w:rPr>
      </w:pPr>
    </w:p>
    <w:p>
      <w:pPr>
        <w:ind w:left="-20" w:right="40" w:firstLine="1948"/>
        <w:spacing w:after="0" w:line="269" w:lineRule="auto"/>
        <w:tabs>
          <w:tab w:leader="none" w:pos="2280"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of Record Date. </w:t>
      </w:r>
      <w:r>
        <w:rPr>
          <w:rFonts w:ascii="Arial" w:cs="Arial" w:eastAsia="Arial" w:hAnsi="Arial"/>
          <w:sz w:val="17"/>
          <w:szCs w:val="17"/>
          <w:color w:val="auto"/>
        </w:rPr>
        <w:t>Upon (i) any taking by the Company of a record of the holders of any class of securities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determining the holders thereof who are entitled to receive any dividend or other distribution, or (ii) any Acquisition (as defined in Section 3) or other capital reorganization of the Company, any reclassification or recapitalization of the capital stock of the Company, any merger or consolidation of the Company with or into any other corporation, or any Asset Transfer (as defined in Section 3), or any voluntary or involuntary dissolution, liquidation or winding up of the Company, the Company shall mail to each holder of Series Preferred at least ten (10) days prior to (x) the record date, if any, specified therein; or (y) if no record date is specified, the date upon which such action is to take effect (or, in either case, such shorter period approved by the holders of a majority of the outstanding Series Preferred)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74" w:right="239" w:bottom="1440" w:gutter="0" w:footer="0" w:header="0"/>
        </w:sectPr>
      </w:pPr>
    </w:p>
    <w:bookmarkStart w:id="258" w:name="page259"/>
    <w:bookmarkEnd w:id="258"/>
    <w:p>
      <w:pPr>
        <w:ind w:left="1860" w:hanging="388"/>
        <w:spacing w:after="0"/>
        <w:tabs>
          <w:tab w:leader="none" w:pos="18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Automatic Conversion.</w:t>
      </w:r>
    </w:p>
    <w:p>
      <w:pPr>
        <w:spacing w:after="0" w:line="121" w:lineRule="exact"/>
        <w:rPr>
          <w:rFonts w:ascii="Arial" w:cs="Arial" w:eastAsia="Arial" w:hAnsi="Arial"/>
          <w:sz w:val="18"/>
          <w:szCs w:val="18"/>
          <w:b w:val="1"/>
          <w:bCs w:val="1"/>
          <w:color w:val="auto"/>
        </w:rPr>
      </w:pPr>
    </w:p>
    <w:p>
      <w:pPr>
        <w:ind w:left="-20" w:right="20" w:firstLine="1948"/>
        <w:spacing w:after="0" w:line="286" w:lineRule="auto"/>
        <w:tabs>
          <w:tab w:leader="none" w:pos="2270" w:val="left"/>
        </w:tabs>
        <w:numPr>
          <w:ilvl w:val="1"/>
          <w:numId w:val="187"/>
        </w:numPr>
        <w:rPr>
          <w:rFonts w:ascii="Arial" w:cs="Arial" w:eastAsia="Arial" w:hAnsi="Arial"/>
          <w:sz w:val="16"/>
          <w:szCs w:val="16"/>
          <w:b w:val="1"/>
          <w:bCs w:val="1"/>
          <w:color w:val="auto"/>
        </w:rPr>
      </w:pPr>
      <w:r>
        <w:rPr>
          <w:rFonts w:ascii="Arial" w:cs="Arial" w:eastAsia="Arial" w:hAnsi="Arial"/>
          <w:sz w:val="16"/>
          <w:szCs w:val="16"/>
          <w:color w:val="auto"/>
        </w:rPr>
        <w:t>Each share of Series A-1 Preferred and Series A-2 Preferred shall automatically be converted into shares of Common Stock, based on the then-effective Applicable Series Preferred Conversion Price, (A) at any time upon the affirmative election of the holders of 66 2/3% of the outstanding shares of the Series A-1 Preferred and Series A-2 Preferred, voting together as a single class, with advance notice provided to the holders of the Series A-1 Preferred and Series A-2 Preferred at least 30 days prior to such election, unless waived by 66 2/3% of the outstanding shares of Series A-1 Preferred and Series A-2 Preferred, or (B) immediately upon the closing of a firmly underwritten public offering pursuant to an effective registration statement under the Securities Act of 1933, as amended, covering the offer and sale of Common Stock for the account of the Company in which the gross cash proceeds to the Company (before underwriting discounts, commissions and fees) are at least $50,000,000. Each share of Series B Preferred shall automatically be converted into shares of Common Stock, based on the then-effective Applicable Series Preferred Conversion Price, (A) at any time upon the affirmative election of the holders of 75% of the outstanding shares of the Series B Preferred, with advance notice provided to the holders of the Series B Preferred at least 30 days prior to such election, unless waived by 75% of the outstanding shares of Series B Preferred, or (B) immediately upon the closing of a firmly underwritten public offering pursuant to an effective registration statement under the Securities Act of 1933, as amended, covering the offer and sale of Common Stock for the account of the Company in which the gross cash proceeds to the Company (before underwriting discounts, commissions and fees) are at least $50,000,000. Upon such automatic conversion, any declared and unpaid dividends shall be paid in accordance with the provisions of Section 4(d).</w:t>
      </w:r>
    </w:p>
    <w:p>
      <w:pPr>
        <w:spacing w:after="0" w:line="174" w:lineRule="exact"/>
        <w:rPr>
          <w:rFonts w:ascii="Arial" w:cs="Arial" w:eastAsia="Arial" w:hAnsi="Arial"/>
          <w:sz w:val="16"/>
          <w:szCs w:val="16"/>
          <w:b w:val="1"/>
          <w:bCs w:val="1"/>
          <w:color w:val="auto"/>
        </w:rPr>
      </w:pPr>
    </w:p>
    <w:p>
      <w:pPr>
        <w:ind w:left="-20" w:firstLine="1948"/>
        <w:spacing w:after="0" w:line="269" w:lineRule="auto"/>
        <w:tabs>
          <w:tab w:leader="none" w:pos="2320" w:val="left"/>
        </w:tabs>
        <w:numPr>
          <w:ilvl w:val="1"/>
          <w:numId w:val="187"/>
        </w:numPr>
        <w:rPr>
          <w:rFonts w:ascii="Arial" w:cs="Arial" w:eastAsia="Arial" w:hAnsi="Arial"/>
          <w:sz w:val="17"/>
          <w:szCs w:val="17"/>
          <w:b w:val="1"/>
          <w:bCs w:val="1"/>
          <w:color w:val="auto"/>
        </w:rPr>
      </w:pPr>
      <w:r>
        <w:rPr>
          <w:rFonts w:ascii="Arial" w:cs="Arial" w:eastAsia="Arial" w:hAnsi="Arial"/>
          <w:sz w:val="17"/>
          <w:szCs w:val="17"/>
          <w:color w:val="auto"/>
        </w:rPr>
        <w:t xml:space="preserve">Upon the occurrence of either of the events specified in Section 4(k)(i) above, the outstanding shares of Series Preferred shall be converted automatically without any further action by the holders of such shares and whether or not the certificates representing such shares are surrendered to the Company or its transfer agent;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not be obligated to issue certificates evidencing the shares of Common Stock issuable upon such conversion unless the certificates evidencing such shares of Series Preferred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Series Preferred, the holders of Series Preferred shall surrender the certificates representing such shares at the office of the Company or any transfer agent for the Series Preferred. Thereupon, there shall be issued and delivered to such holder promptly at such office and in its name as shown on such surrendered certificate or certificates, a certificate or certificates for the number of shares of Common Stock into which the shares of Series Preferred surrendered were convertible on the date on which such automatic conversion occurred, and any declared and unpaid dividends shall be paid in accordance with the provisions of Section 4(d).</w:t>
      </w:r>
    </w:p>
    <w:p>
      <w:pPr>
        <w:spacing w:after="0" w:line="178" w:lineRule="exact"/>
        <w:rPr>
          <w:rFonts w:ascii="Arial" w:cs="Arial" w:eastAsia="Arial" w:hAnsi="Arial"/>
          <w:sz w:val="17"/>
          <w:szCs w:val="17"/>
          <w:b w:val="1"/>
          <w:bCs w:val="1"/>
          <w:color w:val="auto"/>
        </w:rPr>
      </w:pPr>
    </w:p>
    <w:p>
      <w:pPr>
        <w:ind w:left="-20" w:right="580" w:firstLine="1492"/>
        <w:spacing w:after="0" w:line="313" w:lineRule="auto"/>
        <w:tabs>
          <w:tab w:leader="none" w:pos="1813"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Fractional Shares. </w:t>
      </w:r>
      <w:r>
        <w:rPr>
          <w:rFonts w:ascii="Arial" w:cs="Arial" w:eastAsia="Arial" w:hAnsi="Arial"/>
          <w:sz w:val="17"/>
          <w:szCs w:val="17"/>
          <w:color w:val="auto"/>
        </w:rPr>
        <w:t>No fractional shares of Common Stock shall be issued upon conversion of Series Preferred. All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(including fractions thereof) issuable upon conversion of more than one share of Series Preferred by a holder thereof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70" w:right="239" w:bottom="1440" w:gutter="0" w:footer="0" w:header="0"/>
        </w:sectPr>
      </w:pPr>
    </w:p>
    <w:bookmarkStart w:id="259" w:name="page260"/>
    <w:bookmarkEnd w:id="259"/>
    <w:p>
      <w:pPr>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 share, pay cash equal to the product of such fraction multiplied by the fair market value of one share of Common Stock (as determined by the Board) on the date of conversion.</w:t>
      </w:r>
    </w:p>
    <w:p>
      <w:pPr>
        <w:spacing w:after="0" w:line="143" w:lineRule="exact"/>
        <w:rPr>
          <w:sz w:val="20"/>
          <w:szCs w:val="20"/>
          <w:color w:val="auto"/>
        </w:rPr>
      </w:pPr>
    </w:p>
    <w:p>
      <w:pPr>
        <w:ind w:right="20" w:firstLine="1492"/>
        <w:spacing w:after="0" w:line="256" w:lineRule="auto"/>
        <w:tabs>
          <w:tab w:leader="none" w:pos="1933"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Reservation of Stock Issuable Upon Conversion. </w:t>
      </w:r>
      <w:r>
        <w:rPr>
          <w:rFonts w:ascii="Arial" w:cs="Arial" w:eastAsia="Arial" w:hAnsi="Arial"/>
          <w:sz w:val="18"/>
          <w:szCs w:val="18"/>
          <w:color w:val="auto"/>
        </w:rPr>
        <w:t>The Company shall at all times reserve and keep available out of its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but unissued shares of Common Stock, solely for the purpose of effecting the conversion of the shares of the Series Preferred, such number of its shares of Common Stock as shall from time to time be sufficient to effect the conversion of all outstanding shares of the Series Preferred. If at any time the number of authorized but unissued shares of Common Stock shall not be sufficient to effect the conversion of all then outstanding shares of the Series Preferred, the Company will take such corporate action as may be necessary to increase its authorized but unissued shares of Common Stock to such number of shares as shall be sufficient for such purpose.</w:t>
      </w:r>
    </w:p>
    <w:p>
      <w:pPr>
        <w:spacing w:after="0" w:line="187" w:lineRule="exact"/>
        <w:rPr>
          <w:rFonts w:ascii="Arial" w:cs="Arial" w:eastAsia="Arial" w:hAnsi="Arial"/>
          <w:sz w:val="18"/>
          <w:szCs w:val="18"/>
          <w:b w:val="1"/>
          <w:bCs w:val="1"/>
          <w:color w:val="auto"/>
        </w:rPr>
      </w:pPr>
    </w:p>
    <w:p>
      <w:pPr>
        <w:ind w:right="100" w:firstLine="1492"/>
        <w:spacing w:after="0" w:line="298" w:lineRule="auto"/>
        <w:tabs>
          <w:tab w:leader="none" w:pos="1883"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required by the provisions of this Section 4 shall be in writing and shall be deemed effectively given: (i) upon</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delivery to the party to be notified, (ii) when sent by electronic transmission in compliance with the provisions of the DGCL if sent during normal business hours of the recipient; if not, then on the next business day, (iii) five (5) days after having been sent by registered or certified mail, return receipt requested, postage prepaid, or (iv) one (1) 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54" w:lineRule="exact"/>
        <w:rPr>
          <w:rFonts w:ascii="Arial" w:cs="Arial" w:eastAsia="Arial" w:hAnsi="Arial"/>
          <w:sz w:val="16"/>
          <w:szCs w:val="16"/>
          <w:b w:val="1"/>
          <w:bCs w:val="1"/>
          <w:color w:val="auto"/>
        </w:rPr>
      </w:pPr>
    </w:p>
    <w:p>
      <w:pPr>
        <w:jc w:val="both"/>
        <w:ind w:firstLine="1492"/>
        <w:spacing w:after="0" w:line="261" w:lineRule="auto"/>
        <w:tabs>
          <w:tab w:leader="none" w:pos="1873"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of Taxes. </w:t>
      </w:r>
      <w:r>
        <w:rPr>
          <w:rFonts w:ascii="Arial" w:cs="Arial" w:eastAsia="Arial" w:hAnsi="Arial"/>
          <w:sz w:val="18"/>
          <w:szCs w:val="18"/>
          <w:color w:val="auto"/>
        </w:rPr>
        <w:t>The Company will pay all taxes (other than taxes based upon income) and other governmental charges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imposed with respect to the issue or delivery of shares of Common Stock upon conversion of shares of Series Preferred, excluding any tax or other charge imposed in connection with any transfer involved in the issue and delivery of shares of Common Stock in a name other than that in which the shares of Series Preferred so converted were registered.</w:t>
      </w:r>
    </w:p>
    <w:p>
      <w:pPr>
        <w:spacing w:after="0" w:line="329" w:lineRule="exact"/>
        <w:rPr>
          <w:sz w:val="20"/>
          <w:szCs w:val="20"/>
          <w:color w:val="auto"/>
        </w:rPr>
      </w:pPr>
    </w:p>
    <w:p>
      <w:pPr>
        <w:ind w:left="1480" w:hanging="567"/>
        <w:spacing w:after="0"/>
        <w:tabs>
          <w:tab w:leader="none" w:pos="14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EISSUANCE</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ERIES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REFERRED</w:t>
      </w:r>
      <w:r>
        <w:rPr>
          <w:rFonts w:ascii="Arial" w:cs="Arial" w:eastAsia="Arial" w:hAnsi="Arial"/>
          <w:sz w:val="18"/>
          <w:szCs w:val="18"/>
          <w:b w:val="1"/>
          <w:bCs w:val="1"/>
          <w:color w:val="auto"/>
        </w:rPr>
        <w:t>.</w:t>
      </w:r>
    </w:p>
    <w:p>
      <w:pPr>
        <w:spacing w:after="0" w:line="12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Any shares of Series Preferred redeemed, purchased, converted or exchanged by the Company shall be cancelled and retired and shall not be reissued or transferred.</w:t>
      </w:r>
    </w:p>
    <w:p>
      <w:pPr>
        <w:spacing w:after="0" w:line="38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left="820" w:hanging="356"/>
        <w:spacing w:after="0"/>
        <w:tabs>
          <w:tab w:leader="none" w:pos="820"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The liability of the directors of the Company for monetary damages shall be eliminated to the fullest extent under applicable law.</w:t>
      </w:r>
    </w:p>
    <w:p>
      <w:pPr>
        <w:spacing w:after="0" w:line="225" w:lineRule="exact"/>
        <w:rPr>
          <w:rFonts w:ascii="Arial" w:cs="Arial" w:eastAsia="Arial" w:hAnsi="Arial"/>
          <w:sz w:val="18"/>
          <w:szCs w:val="18"/>
          <w:b w:val="1"/>
          <w:bCs w:val="1"/>
          <w:color w:val="auto"/>
        </w:rPr>
      </w:pPr>
    </w:p>
    <w:p>
      <w:pPr>
        <w:jc w:val="both"/>
        <w:ind w:right="420" w:firstLine="464"/>
        <w:spacing w:after="0" w:line="264" w:lineRule="auto"/>
        <w:tabs>
          <w:tab w:leader="none" w:pos="798"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60" w:name="page261"/>
    <w:bookmarkEnd w:id="260"/>
    <w:p>
      <w:pPr>
        <w:jc w:val="both"/>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stockholders or disinterested directors or otherwise in excess of the indemnification and advancement otherwise permitted by such applicable law. If applicable law is amended after approval by the stockholders of this Article V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87" w:lineRule="exact"/>
        <w:rPr>
          <w:sz w:val="20"/>
          <w:szCs w:val="20"/>
          <w:color w:val="auto"/>
        </w:rPr>
      </w:pPr>
    </w:p>
    <w:p>
      <w:pPr>
        <w:ind w:right="180" w:firstLine="464"/>
        <w:spacing w:after="0" w:line="308" w:lineRule="auto"/>
        <w:tabs>
          <w:tab w:leader="none" w:pos="801" w:val="left"/>
        </w:tabs>
        <w:numPr>
          <w:ilvl w:val="0"/>
          <w:numId w:val="191"/>
        </w:numPr>
        <w:rPr>
          <w:rFonts w:ascii="Arial" w:cs="Arial" w:eastAsia="Arial" w:hAnsi="Arial"/>
          <w:sz w:val="17"/>
          <w:szCs w:val="17"/>
          <w:b w:val="1"/>
          <w:bCs w:val="1"/>
          <w:color w:val="auto"/>
        </w:rPr>
      </w:pPr>
      <w:r>
        <w:rPr>
          <w:rFonts w:ascii="Arial" w:cs="Arial" w:eastAsia="Arial" w:hAnsi="Arial"/>
          <w:sz w:val="17"/>
          <w:szCs w:val="17"/>
          <w:color w:val="auto"/>
        </w:rPr>
        <w:t>Any repeal or modification of this Article V shall only be prospective and shall not affect the rights or protections or increase the liability of any director under this Article V in effect at the time of the alleged occurrence of any act or omission to act giving rise to liability or indemnification.</w:t>
      </w:r>
    </w:p>
    <w:p>
      <w:pPr>
        <w:spacing w:after="0" w:line="146" w:lineRule="exact"/>
        <w:rPr>
          <w:rFonts w:ascii="Arial" w:cs="Arial" w:eastAsia="Arial" w:hAnsi="Arial"/>
          <w:sz w:val="17"/>
          <w:szCs w:val="17"/>
          <w:b w:val="1"/>
          <w:bCs w:val="1"/>
          <w:color w:val="auto"/>
        </w:rPr>
      </w:pPr>
    </w:p>
    <w:p>
      <w:pPr>
        <w:ind w:right="160" w:firstLine="464"/>
        <w:spacing w:after="0" w:line="276" w:lineRule="auto"/>
        <w:tabs>
          <w:tab w:leader="none" w:pos="808" w:val="left"/>
        </w:tabs>
        <w:numPr>
          <w:ilvl w:val="0"/>
          <w:numId w:val="191"/>
        </w:numPr>
        <w:rPr>
          <w:rFonts w:ascii="Arial" w:cs="Arial" w:eastAsia="Arial" w:hAnsi="Arial"/>
          <w:sz w:val="17"/>
          <w:szCs w:val="17"/>
          <w:b w:val="1"/>
          <w:bCs w:val="1"/>
          <w:color w:val="auto"/>
        </w:rPr>
      </w:pPr>
      <w:r>
        <w:rPr>
          <w:rFonts w:ascii="Arial" w:cs="Arial" w:eastAsia="Arial" w:hAnsi="Arial"/>
          <w:sz w:val="17"/>
          <w:szCs w:val="17"/>
          <w:color w:val="auto"/>
        </w:rPr>
        <w:t>The Company renounces any interest or expectancy of the Company in, or in being offered an opportunity to participate in, any Excluded Opportunity. An “</w:t>
      </w:r>
      <w:r>
        <w:rPr>
          <w:rFonts w:ascii="Arial" w:cs="Arial" w:eastAsia="Arial" w:hAnsi="Arial"/>
          <w:sz w:val="17"/>
          <w:szCs w:val="17"/>
          <w:b w:val="1"/>
          <w:bCs w:val="1"/>
          <w:i w:val="1"/>
          <w:i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any director of the Company who is not an employee of the Company or any of its subsidiaries, (collectively, “</w:t>
      </w:r>
      <w:r>
        <w:rPr>
          <w:rFonts w:ascii="Arial" w:cs="Arial" w:eastAsia="Arial" w:hAnsi="Arial"/>
          <w:sz w:val="17"/>
          <w:szCs w:val="17"/>
          <w:b w:val="1"/>
          <w:bCs w:val="1"/>
          <w:i w:val="1"/>
          <w:iCs w:val="1"/>
          <w:color w:val="auto"/>
        </w:rPr>
        <w:t>Covered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Persons</w:t>
      </w:r>
      <w:r>
        <w:rPr>
          <w:rFonts w:ascii="Arial" w:cs="Arial" w:eastAsia="Arial" w:hAnsi="Arial"/>
          <w:sz w:val="17"/>
          <w:szCs w:val="17"/>
          <w:color w:val="auto"/>
        </w:rPr>
        <w:t>”), unless in either case such matter, transaction or interest is presented to, or acquired, created or developed by, or otherwise comes into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possession of, a Covered Person expressly and solely in such Covered Person’s capacity as a director of the Company.</w:t>
      </w:r>
    </w:p>
    <w:p>
      <w:pPr>
        <w:spacing w:after="0" w:line="38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70" w:lineRule="exact"/>
        <w:rPr>
          <w:sz w:val="20"/>
          <w:szCs w:val="20"/>
          <w:color w:val="auto"/>
        </w:rPr>
      </w:pPr>
    </w:p>
    <w:p>
      <w:pPr>
        <w:ind w:right="340" w:firstLine="464"/>
        <w:spacing w:after="0" w:line="264" w:lineRule="auto"/>
        <w:tabs>
          <w:tab w:leader="none" w:pos="808"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The management of the business and the conduct of the affairs of the Company shall be vested in its Board. The number of directors that shall constitute the whole Board shall be fixed by the Board in the manner provided in the Bylaws, subject to any restrictions which may be set forth in this Restated Certificate.</w:t>
      </w:r>
    </w:p>
    <w:p>
      <w:pPr>
        <w:spacing w:after="0" w:line="181" w:lineRule="exact"/>
        <w:rPr>
          <w:rFonts w:ascii="Arial" w:cs="Arial" w:eastAsia="Arial" w:hAnsi="Arial"/>
          <w:sz w:val="18"/>
          <w:szCs w:val="18"/>
          <w:b w:val="1"/>
          <w:bCs w:val="1"/>
          <w:color w:val="auto"/>
        </w:rPr>
      </w:pPr>
    </w:p>
    <w:p>
      <w:pPr>
        <w:ind w:right="20" w:firstLine="464"/>
        <w:spacing w:after="0" w:line="264" w:lineRule="auto"/>
        <w:tabs>
          <w:tab w:leader="none" w:pos="798"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The Board of Directors is expressly empowered to adopt, amend or repeal the Bylaws of the Company, subject to any restrictions that may be set forth in this Restated Certificate. The stockholders shall also have the power to adopt, amend or repeal the Bylaws of the Company, subject to any restrictions that may be set forth in this Restated Certificate.</w:t>
      </w:r>
    </w:p>
    <w:p>
      <w:pPr>
        <w:spacing w:after="0" w:line="181" w:lineRule="exact"/>
        <w:rPr>
          <w:rFonts w:ascii="Arial" w:cs="Arial" w:eastAsia="Arial" w:hAnsi="Arial"/>
          <w:sz w:val="18"/>
          <w:szCs w:val="18"/>
          <w:b w:val="1"/>
          <w:bCs w:val="1"/>
          <w:color w:val="auto"/>
        </w:rPr>
      </w:pPr>
    </w:p>
    <w:p>
      <w:pPr>
        <w:ind w:left="820" w:hanging="356"/>
        <w:spacing w:after="0"/>
        <w:tabs>
          <w:tab w:leader="none" w:pos="820"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The directors of the Company need not be elected by written ballot unless the Bylaws so provide.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w:t>
      </w:r>
    </w:p>
    <w:p>
      <w:pPr>
        <w:spacing w:after="0" w:line="2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b w:val="1"/>
          <w:bCs w:val="1"/>
          <w:color w:val="auto"/>
        </w:rPr>
        <w:t>FOUR:</w:t>
      </w:r>
      <w:r>
        <w:rPr>
          <w:sz w:val="20"/>
          <w:szCs w:val="20"/>
          <w:color w:val="auto"/>
        </w:rPr>
        <w:tab/>
      </w:r>
      <w:r>
        <w:rPr>
          <w:rFonts w:ascii="Arial" w:cs="Arial" w:eastAsia="Arial" w:hAnsi="Arial"/>
          <w:sz w:val="16"/>
          <w:szCs w:val="16"/>
          <w:color w:val="auto"/>
        </w:rPr>
        <w:t>This Restated Certificate has been duly approved by the Board of Directors of the Company.</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FIVE: </w:t>
      </w:r>
      <w:r>
        <w:rPr>
          <w:rFonts w:ascii="Arial" w:cs="Arial" w:eastAsia="Arial" w:hAnsi="Arial"/>
          <w:sz w:val="18"/>
          <w:szCs w:val="18"/>
          <w:color w:val="auto"/>
        </w:rPr>
        <w:t>This Restated Certificate was approved by the holders of the requisite number of shares of said corporation in accordance with Section 228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DGCL. This Restated Certificate has been duly adopted in accordance with the provisions of Sections 242 and 245 of the DGCL by the stockholders of the Company.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61" w:name="page262"/>
    <w:bookmarkEnd w:id="261"/>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Forty Seven, Inc. has caused this Amended and Restated Certificate of Incorporation to be signed by its President this 14th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2018.</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ORTY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EVEN</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McCamish</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McCamish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270" w:right="45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166495" cy="3771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11664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John T. McKenna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+1 650 843 5059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jmckenna@cooley.com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Forty Seven,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1490 O’Brien Drive, Suite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acted as counsel to Forty Seven,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(No. 333-225390)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including a related prospectus filed with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covering an underwritten public offering of up to 7,705,000 shares of the Company’s common stock, par value $0.0001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(including up to 1,005,000 Shares that may be sold by the Company upon exercise of an over-allotment option to be granted to the underwriters).</w:t>
      </w:r>
    </w:p>
    <w:p>
      <w:pPr>
        <w:spacing w:after="0" w:line="1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connection with this opinion, we have (i) examined and relied upon (a) the Registration Statement and Prospectus, (b) the Company’s Amended and Restated Certificate of Incorporation and Amended and Restated Bylaws, as currently in effect as of the date hereof and (c) the originals or copies certified to our satisfaction of such records, documents, certificates, memoranda and other instruments as in our judgment are necessary or appropriate to enable us to render the opinion expressed below and (ii) assumed that the Shares will be sold at a price established by the Board of Directors of the Company, or the Pricing Committee thereof, in accordance with Section 153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p>
    <w:p>
      <w:pPr>
        <w:spacing w:after="0" w:line="15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assumed the genuineness and authenticity of all documents submitted to us as originals, and the conformity to originals of all documents submitted to us as copies and the due execution and delivery of all documents where due execution and delivery are a prerequisite to the effectiveness thereof (except we have not assumed the due execution and delivery by the Company of any such documents). As to certain factual matters, we have relied upon a certificate of an officer of the Company and have not sought independently to verify such matters. Our opinion is expressed only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therefore in accordance with the Registration Statement and the Prospectus, will be validly issued, fully paid and non-assessable.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included in the Registration Statement and to the filing of this opinion as an exhibit to the Registration Statement.</w:t>
      </w:r>
    </w:p>
    <w:p>
      <w:pPr>
        <w:spacing w:after="0" w:line="170" w:lineRule="exact"/>
        <w:rPr>
          <w:sz w:val="20"/>
          <w:szCs w:val="20"/>
          <w:color w:val="auto"/>
        </w:rPr>
      </w:pPr>
    </w:p>
    <w:p>
      <w:pPr>
        <w:jc w:val="center"/>
        <w:spacing w:after="0"/>
        <w:tabs>
          <w:tab w:leader="none" w:pos="160" w:val="left"/>
          <w:tab w:leader="none" w:pos="160" w:val="left"/>
          <w:tab w:leader="none" w:pos="140" w:val="left"/>
        </w:tabs>
        <w:rPr>
          <w:sz w:val="20"/>
          <w:szCs w:val="20"/>
          <w:color w:val="auto"/>
        </w:rPr>
      </w:pPr>
      <w:r>
        <w:rPr>
          <w:rFonts w:ascii="Arial" w:cs="Arial" w:eastAsia="Arial" w:hAnsi="Arial"/>
          <w:sz w:val="18"/>
          <w:szCs w:val="18"/>
          <w:color w:val="auto"/>
        </w:rPr>
        <w:t>Cooley LLP</w:t>
        <w:tab/>
        <w:t>3175 Hanover Street</w:t>
        <w:tab/>
        <w:t>Palo Alto, CA</w:t>
      </w:r>
      <w:r>
        <w:rPr>
          <w:sz w:val="20"/>
          <w:szCs w:val="20"/>
          <w:color w:val="auto"/>
        </w:rPr>
        <w:tab/>
      </w:r>
      <w:r>
        <w:rPr>
          <w:rFonts w:ascii="Arial" w:cs="Arial" w:eastAsia="Arial" w:hAnsi="Arial"/>
          <w:sz w:val="16"/>
          <w:szCs w:val="16"/>
          <w:color w:val="auto"/>
        </w:rPr>
        <w:t>94304-1130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1420"/>
          </w:cols>
          <w:pgMar w:left="240" w:top="121" w:right="2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66495" cy="3771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77190"/>
                    </a:xfrm>
                    <a:prstGeom prst="rect">
                      <a:avLst/>
                    </a:prstGeom>
                    <a:noFill/>
                  </pic:spPr>
                </pic:pic>
              </a:graphicData>
            </a:graphic>
          </wp:anchor>
        </w:drawing>
        <w:t>Forty Seven,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18,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Cooley LLP</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By:  /s/ John T.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John T. McKenna</w:t>
      </w:r>
    </w:p>
    <w:p>
      <w:pPr>
        <w:spacing w:after="0" w:line="200" w:lineRule="exact"/>
        <w:rPr>
          <w:sz w:val="20"/>
          <w:szCs w:val="20"/>
          <w:color w:val="auto"/>
        </w:rPr>
      </w:pPr>
    </w:p>
    <w:p>
      <w:pPr>
        <w:spacing w:after="0" w:line="268" w:lineRule="exact"/>
        <w:rPr>
          <w:sz w:val="20"/>
          <w:szCs w:val="20"/>
          <w:color w:val="auto"/>
        </w:rPr>
      </w:pPr>
    </w:p>
    <w:p>
      <w:pPr>
        <w:jc w:val="center"/>
        <w:ind w:right="-1200"/>
        <w:spacing w:after="0"/>
        <w:tabs>
          <w:tab w:leader="none" w:pos="160" w:val="left"/>
          <w:tab w:leader="none" w:pos="160" w:val="left"/>
          <w:tab w:leader="none" w:pos="140" w:val="left"/>
        </w:tabs>
        <w:rPr>
          <w:sz w:val="20"/>
          <w:szCs w:val="20"/>
          <w:color w:val="auto"/>
        </w:rPr>
      </w:pPr>
      <w:r>
        <w:rPr>
          <w:rFonts w:ascii="Arial" w:cs="Arial" w:eastAsia="Arial" w:hAnsi="Arial"/>
          <w:sz w:val="18"/>
          <w:szCs w:val="18"/>
          <w:color w:val="auto"/>
        </w:rPr>
        <w:t>Cooley LLP</w:t>
        <w:tab/>
        <w:t>3175 Hanover Street</w:t>
        <w:tab/>
        <w:t>Palo Alto, CA</w:t>
      </w:r>
      <w:r>
        <w:rPr>
          <w:sz w:val="20"/>
          <w:szCs w:val="20"/>
          <w:color w:val="auto"/>
        </w:rPr>
        <w:tab/>
      </w:r>
      <w:r>
        <w:rPr>
          <w:rFonts w:ascii="Arial" w:cs="Arial" w:eastAsia="Arial" w:hAnsi="Arial"/>
          <w:sz w:val="16"/>
          <w:szCs w:val="16"/>
          <w:color w:val="auto"/>
        </w:rPr>
        <w:t>94304-1130</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219"/>
          </w:cols>
          <w:pgMar w:left="240" w:top="1084" w:right="1440"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THE BOARD OF DIRECTORS: May 15,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November 20,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OF DIRECTORS: October 16,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October 16,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OF DIRECTORS: April 12,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BY THE BOARD OF DIRECTORS: April 27,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June 14,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DATE: May 15, 2025</w:t>
      </w:r>
    </w:p>
    <w:p>
      <w:pPr>
        <w:spacing w:after="0" w:line="234"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Eligible Stock Award Recipients</w:t>
      </w:r>
      <w:r>
        <w:rPr>
          <w:rFonts w:ascii="Arial" w:cs="Arial" w:eastAsia="Arial" w:hAnsi="Arial"/>
          <w:sz w:val="18"/>
          <w:szCs w:val="18"/>
          <w:color w:val="auto"/>
        </w:rPr>
        <w:t>. Employees, Directors and Consultants are eligible to receive Stock Awards.</w:t>
      </w:r>
    </w:p>
    <w:p>
      <w:pPr>
        <w:spacing w:after="0" w:line="117" w:lineRule="exact"/>
        <w:rPr>
          <w:rFonts w:ascii="Arial" w:cs="Arial" w:eastAsia="Arial" w:hAnsi="Arial"/>
          <w:sz w:val="18"/>
          <w:szCs w:val="18"/>
          <w:b w:val="1"/>
          <w:bCs w:val="1"/>
          <w:color w:val="auto"/>
        </w:rPr>
      </w:pPr>
    </w:p>
    <w:p>
      <w:pPr>
        <w:ind w:right="320" w:firstLine="464"/>
        <w:spacing w:after="0" w:line="347" w:lineRule="auto"/>
        <w:tabs>
          <w:tab w:leader="none" w:pos="721" w:val="left"/>
        </w:tabs>
        <w:numPr>
          <w:ilvl w:val="1"/>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Available Stock Awards</w:t>
      </w:r>
      <w:r>
        <w:rPr>
          <w:rFonts w:ascii="Arial" w:cs="Arial" w:eastAsia="Arial" w:hAnsi="Arial"/>
          <w:sz w:val="16"/>
          <w:szCs w:val="16"/>
          <w:color w:val="auto"/>
        </w:rPr>
        <w:t>. The Plan provides for the grant of the following types of Stock Awards: (i) Incentive Stock Options, (ii) Nonstatutory</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Options, (iii) Stock Appreciation Rights, (iv) Restricted Stock Awards, (v) Restricted Stock Unit Awards and (vi) Other Stock Awards.</w:t>
      </w:r>
    </w:p>
    <w:p>
      <w:pPr>
        <w:spacing w:after="0" w:line="8" w:lineRule="exact"/>
        <w:rPr>
          <w:rFonts w:ascii="Arial" w:cs="Arial" w:eastAsia="Arial" w:hAnsi="Arial"/>
          <w:sz w:val="16"/>
          <w:szCs w:val="16"/>
          <w:b w:val="1"/>
          <w:bCs w:val="1"/>
          <w:color w:val="auto"/>
        </w:rPr>
      </w:pPr>
    </w:p>
    <w:p>
      <w:pPr>
        <w:ind w:right="120" w:firstLine="464"/>
        <w:spacing w:after="0" w:line="266" w:lineRule="auto"/>
        <w:tabs>
          <w:tab w:leader="none" w:pos="701" w:val="left"/>
        </w:tabs>
        <w:numPr>
          <w:ilvl w:val="1"/>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Plan, through the granting of Stock Awards, is intended to help the Company secure and retain the services of eligible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81" w:lineRule="exact"/>
        <w:rPr>
          <w:rFonts w:ascii="Arial" w:cs="Arial" w:eastAsia="Arial" w:hAnsi="Arial"/>
          <w:sz w:val="18"/>
          <w:szCs w:val="18"/>
          <w:b w:val="1"/>
          <w:bCs w:val="1"/>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DMINISTRATION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80" w:firstLine="464"/>
        <w:spacing w:after="0" w:line="282" w:lineRule="auto"/>
        <w:tabs>
          <w:tab w:leader="none" w:pos="711" w:val="left"/>
        </w:tabs>
        <w:numPr>
          <w:ilvl w:val="1"/>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Board</w:t>
      </w:r>
      <w:r>
        <w:rPr>
          <w:rFonts w:ascii="Arial" w:cs="Arial" w:eastAsia="Arial" w:hAnsi="Arial"/>
          <w:sz w:val="18"/>
          <w:szCs w:val="18"/>
          <w:color w:val="auto"/>
        </w:rPr>
        <w:t>. The Board will administer the Plan. The Board may delegate administration of the Plan to a Committee or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in Section 2(c).</w:t>
      </w:r>
    </w:p>
    <w:p>
      <w:pPr>
        <w:spacing w:after="0" w:line="53" w:lineRule="exact"/>
        <w:rPr>
          <w:rFonts w:ascii="Arial" w:cs="Arial" w:eastAsia="Arial" w:hAnsi="Arial"/>
          <w:sz w:val="18"/>
          <w:szCs w:val="18"/>
          <w:b w:val="1"/>
          <w:bCs w:val="1"/>
          <w:color w:val="auto"/>
        </w:rPr>
      </w:pPr>
    </w:p>
    <w:p>
      <w:pPr>
        <w:ind w:left="720" w:hanging="256"/>
        <w:spacing w:after="0"/>
        <w:tabs>
          <w:tab w:leader="none" w:pos="720" w:val="left"/>
        </w:tabs>
        <w:numPr>
          <w:ilvl w:val="1"/>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Board</w:t>
      </w:r>
      <w:r>
        <w:rPr>
          <w:rFonts w:ascii="Arial" w:cs="Arial" w:eastAsia="Arial" w:hAnsi="Arial"/>
          <w:sz w:val="18"/>
          <w:szCs w:val="18"/>
          <w:color w:val="auto"/>
        </w:rPr>
        <w:t>. The Board will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ind w:right="40" w:firstLine="921"/>
        <w:spacing w:after="0" w:line="259" w:lineRule="auto"/>
        <w:tabs>
          <w:tab w:leader="none" w:pos="1128" w:val="left"/>
        </w:tabs>
        <w:numPr>
          <w:ilvl w:val="2"/>
          <w:numId w:val="193"/>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Stock Awards; (B) when and how each Stock 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a Stock Award; and (F) the Fair Market Value applicable to a Stock Award.</w:t>
      </w:r>
    </w:p>
    <w:p>
      <w:pPr>
        <w:spacing w:after="0" w:line="78" w:lineRule="exact"/>
        <w:rPr>
          <w:rFonts w:ascii="Arial" w:cs="Arial" w:eastAsia="Arial" w:hAnsi="Arial"/>
          <w:sz w:val="18"/>
          <w:szCs w:val="18"/>
          <w:b w:val="1"/>
          <w:bCs w:val="1"/>
          <w:color w:val="auto"/>
        </w:rPr>
      </w:pPr>
    </w:p>
    <w:p>
      <w:pPr>
        <w:ind w:right="160" w:firstLine="921"/>
        <w:spacing w:after="0" w:line="312" w:lineRule="auto"/>
        <w:tabs>
          <w:tab w:leader="none" w:pos="1178" w:val="left"/>
        </w:tabs>
        <w:numPr>
          <w:ilvl w:val="2"/>
          <w:numId w:val="193"/>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38" w:lineRule="exact"/>
        <w:rPr>
          <w:rFonts w:ascii="Arial" w:cs="Arial" w:eastAsia="Arial" w:hAnsi="Arial"/>
          <w:sz w:val="16"/>
          <w:szCs w:val="16"/>
          <w:b w:val="1"/>
          <w:bCs w:val="1"/>
          <w:color w:val="auto"/>
        </w:rPr>
      </w:pPr>
    </w:p>
    <w:p>
      <w:pPr>
        <w:ind w:left="1240" w:hanging="319"/>
        <w:spacing w:after="0"/>
        <w:tabs>
          <w:tab w:leader="none" w:pos="1240" w:val="left"/>
        </w:tabs>
        <w:numPr>
          <w:ilvl w:val="2"/>
          <w:numId w:val="193"/>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Stock Awards granted under 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65" w:name="page266"/>
    <w:bookmarkEnd w:id="265"/>
    <w:p>
      <w:pPr>
        <w:ind w:left="1220" w:hanging="299"/>
        <w:spacing w:after="0"/>
        <w:tabs>
          <w:tab w:leader="none" w:pos="1220" w:val="left"/>
        </w:tabs>
        <w:numPr>
          <w:ilvl w:val="1"/>
          <w:numId w:val="19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accelerate, in whole or in part, the time at which a Stock Award may be exercised or vest (or at which cash or shares of Common Stock</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may be issued).</w:t>
      </w:r>
    </w:p>
    <w:p>
      <w:pPr>
        <w:spacing w:after="0" w:line="102" w:lineRule="exact"/>
        <w:rPr>
          <w:rFonts w:ascii="Arial" w:cs="Arial" w:eastAsia="Arial" w:hAnsi="Arial"/>
          <w:sz w:val="16"/>
          <w:szCs w:val="16"/>
          <w:b w:val="1"/>
          <w:bCs w:val="1"/>
          <w:color w:val="auto"/>
        </w:rPr>
      </w:pPr>
    </w:p>
    <w:p>
      <w:pPr>
        <w:ind w:right="540" w:firstLine="921"/>
        <w:spacing w:after="0" w:line="264" w:lineRule="auto"/>
        <w:tabs>
          <w:tab w:leader="none" w:pos="1168" w:val="left"/>
        </w:tabs>
        <w:numPr>
          <w:ilvl w:val="1"/>
          <w:numId w:val="194"/>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 Stock Award Agreement, suspension or termination of the Plan will not impair a Participant’s rights under his or her then-outstanding Stock Award without his or her written consent except as provided in subsection (viii) below.</w:t>
      </w:r>
    </w:p>
    <w:p>
      <w:pPr>
        <w:spacing w:after="0" w:line="73" w:lineRule="exact"/>
        <w:rPr>
          <w:rFonts w:ascii="Arial" w:cs="Arial" w:eastAsia="Arial" w:hAnsi="Arial"/>
          <w:sz w:val="18"/>
          <w:szCs w:val="18"/>
          <w:b w:val="1"/>
          <w:bCs w:val="1"/>
          <w:color w:val="auto"/>
        </w:rPr>
      </w:pPr>
    </w:p>
    <w:p>
      <w:pPr>
        <w:ind w:right="60" w:firstLine="921"/>
        <w:spacing w:after="0" w:line="285" w:lineRule="auto"/>
        <w:tabs>
          <w:tab w:leader="none" w:pos="1218" w:val="left"/>
        </w:tabs>
        <w:numPr>
          <w:ilvl w:val="1"/>
          <w:numId w:val="194"/>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Stock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and except as provided in Section 9(a) relating to Capitalization Adjustments, the Company will seek stockholder approval of any amendment of the Plan that</w:t>
      </w:r>
    </w:p>
    <w:p>
      <w:pPr>
        <w:spacing w:after="0" w:line="2" w:lineRule="exact"/>
        <w:rPr>
          <w:rFonts w:ascii="Arial" w:cs="Arial" w:eastAsia="Arial" w:hAnsi="Arial"/>
          <w:sz w:val="16"/>
          <w:szCs w:val="16"/>
          <w:b w:val="1"/>
          <w:bCs w:val="1"/>
          <w:color w:val="auto"/>
        </w:rPr>
      </w:pPr>
    </w:p>
    <w:p>
      <w:pPr>
        <w:jc w:val="both"/>
        <w:ind w:right="20" w:firstLine="8"/>
        <w:spacing w:after="0" w:line="281" w:lineRule="auto"/>
        <w:tabs>
          <w:tab w:leader="none" w:pos="29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materially increases the number of shares of Common Stock available for issuance under the Plan, (B) materially expands the class of individuals eligible to receive Stock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Stock Awards available for issuance under the Plan. Except as provided in the Plan (including subsection (viii) below) or a Stock Award Agreement, no amendment of the Plan will impair a Participant’s rights under an outstanding Stock Award unless (1) the Company requests the consent of the affected Participant, and</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 such Participant consents in writing.</w:t>
      </w:r>
    </w:p>
    <w:p>
      <w:pPr>
        <w:spacing w:after="0" w:line="102" w:lineRule="exact"/>
        <w:rPr>
          <w:rFonts w:ascii="Arial" w:cs="Arial" w:eastAsia="Arial" w:hAnsi="Arial"/>
          <w:sz w:val="16"/>
          <w:szCs w:val="16"/>
          <w:color w:val="auto"/>
        </w:rPr>
      </w:pPr>
    </w:p>
    <w:p>
      <w:pPr>
        <w:ind w:right="60" w:firstLine="921"/>
        <w:spacing w:after="0" w:line="277" w:lineRule="auto"/>
        <w:tabs>
          <w:tab w:leader="none" w:pos="1268"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62" w:lineRule="exact"/>
        <w:rPr>
          <w:rFonts w:ascii="Arial" w:cs="Arial" w:eastAsia="Arial" w:hAnsi="Arial"/>
          <w:sz w:val="18"/>
          <w:szCs w:val="18"/>
          <w:b w:val="1"/>
          <w:bCs w:val="1"/>
          <w:color w:val="auto"/>
        </w:rPr>
      </w:pPr>
    </w:p>
    <w:p>
      <w:pPr>
        <w:ind w:firstLine="921"/>
        <w:spacing w:after="0" w:line="288" w:lineRule="auto"/>
        <w:tabs>
          <w:tab w:leader="none" w:pos="1318" w:val="left"/>
        </w:tabs>
        <w:numPr>
          <w:ilvl w:val="1"/>
          <w:numId w:val="195"/>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Stock Award into compliance with, Section 409A of the Code; or (D) to comply with other applicable laws.</w:t>
      </w:r>
    </w:p>
    <w:p>
      <w:pPr>
        <w:spacing w:after="0" w:line="61" w:lineRule="exact"/>
        <w:rPr>
          <w:rFonts w:ascii="Arial" w:cs="Arial" w:eastAsia="Arial" w:hAnsi="Arial"/>
          <w:sz w:val="16"/>
          <w:szCs w:val="16"/>
          <w:b w:val="1"/>
          <w:bCs w:val="1"/>
          <w:color w:val="auto"/>
        </w:rPr>
      </w:pPr>
    </w:p>
    <w:p>
      <w:pPr>
        <w:ind w:right="200" w:firstLine="921"/>
        <w:spacing w:after="0" w:line="277" w:lineRule="auto"/>
        <w:tabs>
          <w:tab w:leader="none" w:pos="1218"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62" w:lineRule="exact"/>
        <w:rPr>
          <w:rFonts w:ascii="Arial" w:cs="Arial" w:eastAsia="Arial" w:hAnsi="Arial"/>
          <w:sz w:val="18"/>
          <w:szCs w:val="18"/>
          <w:b w:val="1"/>
          <w:bCs w:val="1"/>
          <w:color w:val="auto"/>
        </w:rPr>
      </w:pPr>
    </w:p>
    <w:p>
      <w:pPr>
        <w:ind w:right="600" w:firstLine="921"/>
        <w:spacing w:after="0" w:line="277" w:lineRule="auto"/>
        <w:tabs>
          <w:tab w:leader="none" w:pos="1168"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Directors or Consultants who are foreign nationals or employed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66" w:name="page267"/>
    <w:bookmarkEnd w:id="26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outside the United States (provided that Board approval will not be necessary for immaterial modifications to the Plan or any Stock Award Agreement that are required for compliance with the laws of the relevant foreign jurisdiction).</w:t>
      </w:r>
    </w:p>
    <w:p>
      <w:pPr>
        <w:spacing w:after="0" w:line="62" w:lineRule="exact"/>
        <w:rPr>
          <w:sz w:val="20"/>
          <w:szCs w:val="20"/>
          <w:color w:val="auto"/>
        </w:rPr>
      </w:pPr>
    </w:p>
    <w:p>
      <w:pPr>
        <w:ind w:firstLine="921"/>
        <w:spacing w:after="0" w:line="286" w:lineRule="auto"/>
        <w:tabs>
          <w:tab w:leader="none" w:pos="1218" w:val="left"/>
        </w:tabs>
        <w:numPr>
          <w:ilvl w:val="2"/>
          <w:numId w:val="196"/>
        </w:numPr>
        <w:rPr>
          <w:rFonts w:ascii="Arial" w:cs="Arial" w:eastAsia="Arial" w:hAnsi="Arial"/>
          <w:sz w:val="16"/>
          <w:szCs w:val="16"/>
          <w:b w:val="1"/>
          <w:bCs w:val="1"/>
          <w:color w:val="auto"/>
        </w:rPr>
      </w:pPr>
      <w:r>
        <w:rPr>
          <w:rFonts w:ascii="Arial" w:cs="Arial" w:eastAsia="Arial" w:hAnsi="Arial"/>
          <w:sz w:val="16"/>
          <w:szCs w:val="16"/>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 (2) 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w:t>
      </w:r>
    </w:p>
    <w:p>
      <w:pPr>
        <w:spacing w:after="0" w:line="1" w:lineRule="exact"/>
        <w:rPr>
          <w:rFonts w:ascii="Arial" w:cs="Arial" w:eastAsia="Arial" w:hAnsi="Arial"/>
          <w:sz w:val="16"/>
          <w:szCs w:val="16"/>
          <w:b w:val="1"/>
          <w:bCs w:val="1"/>
          <w:color w:val="auto"/>
        </w:rPr>
      </w:pPr>
    </w:p>
    <w:p>
      <w:pPr>
        <w:ind w:right="500" w:firstLine="8"/>
        <w:spacing w:after="0" w:line="261" w:lineRule="auto"/>
        <w:tabs>
          <w:tab w:leader="none" w:pos="2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granted under the Plan or another equity or compensatory plan of the Company; or (C) any other action that is treated as a repricing under generally accepted accounting principles.</w:t>
      </w:r>
    </w:p>
    <w:p>
      <w:pPr>
        <w:spacing w:after="0" w:line="71" w:lineRule="exact"/>
        <w:rPr>
          <w:rFonts w:ascii="Arial" w:cs="Arial" w:eastAsia="Arial" w:hAnsi="Arial"/>
          <w:sz w:val="18"/>
          <w:szCs w:val="18"/>
          <w:color w:val="auto"/>
        </w:rPr>
      </w:pPr>
    </w:p>
    <w:p>
      <w:pPr>
        <w:ind w:right="100" w:firstLine="464"/>
        <w:spacing w:after="0" w:line="255" w:lineRule="auto"/>
        <w:tabs>
          <w:tab w:leader="none" w:pos="701" w:val="left"/>
        </w:tabs>
        <w:numPr>
          <w:ilvl w:val="1"/>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r>
        <w:rPr>
          <w:rFonts w:ascii="Arial" w:cs="Arial" w:eastAsia="Arial" w:hAnsi="Arial"/>
          <w:sz w:val="18"/>
          <w:szCs w:val="18"/>
          <w:color w:val="auto"/>
        </w:rPr>
        <w:t>. The Board may delegate some or all of the administration of the Plan to a Committee or Committees. If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77" w:lineRule="exact"/>
        <w:rPr>
          <w:rFonts w:ascii="Arial" w:cs="Arial" w:eastAsia="Arial" w:hAnsi="Arial"/>
          <w:sz w:val="18"/>
          <w:szCs w:val="18"/>
          <w:b w:val="1"/>
          <w:bCs w:val="1"/>
          <w:color w:val="auto"/>
        </w:rPr>
      </w:pPr>
    </w:p>
    <w:p>
      <w:pPr>
        <w:ind w:firstLine="464"/>
        <w:spacing w:after="0" w:line="272" w:lineRule="auto"/>
        <w:tabs>
          <w:tab w:leader="none" w:pos="721" w:val="left"/>
        </w:tabs>
        <w:numPr>
          <w:ilvl w:val="1"/>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t>Delegation to an Officer</w:t>
      </w:r>
      <w:r>
        <w:rPr>
          <w:rFonts w:ascii="Arial" w:cs="Arial" w:eastAsia="Arial" w:hAnsi="Arial"/>
          <w:sz w:val="17"/>
          <w:szCs w:val="17"/>
          <w:color w:val="auto"/>
        </w:rPr>
        <w:t>. The Board may delegate to one (1) or more Officers the authority to do one or both of the following: (i) designate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provided, however,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13(t) below.</w:t>
      </w:r>
    </w:p>
    <w:p>
      <w:pPr>
        <w:spacing w:after="0" w:line="64" w:lineRule="exact"/>
        <w:rPr>
          <w:rFonts w:ascii="Arial" w:cs="Arial" w:eastAsia="Arial" w:hAnsi="Arial"/>
          <w:sz w:val="17"/>
          <w:szCs w:val="17"/>
          <w:b w:val="1"/>
          <w:bCs w:val="1"/>
          <w:color w:val="auto"/>
        </w:rPr>
      </w:pPr>
    </w:p>
    <w:p>
      <w:pPr>
        <w:ind w:right="120" w:firstLine="464"/>
        <w:spacing w:after="0" w:line="282" w:lineRule="auto"/>
        <w:tabs>
          <w:tab w:leader="none" w:pos="701" w:val="left"/>
        </w:tabs>
        <w:numPr>
          <w:ilvl w:val="1"/>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will not be subject to review by</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and will be final, binding and conclusive on all persons.</w:t>
      </w:r>
    </w:p>
    <w:p>
      <w:pPr>
        <w:spacing w:after="0" w:line="67"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80" w:firstLine="921"/>
        <w:spacing w:after="0" w:line="277" w:lineRule="auto"/>
        <w:tabs>
          <w:tab w:leader="none" w:pos="1128" w:val="left"/>
        </w:tabs>
        <w:numPr>
          <w:ilvl w:val="2"/>
          <w:numId w:val="198"/>
        </w:numPr>
        <w:rPr>
          <w:rFonts w:ascii="Arial" w:cs="Arial" w:eastAsia="Arial" w:hAnsi="Arial"/>
          <w:sz w:val="18"/>
          <w:szCs w:val="18"/>
          <w:b w:val="1"/>
          <w:bCs w:val="1"/>
          <w:color w:val="auto"/>
        </w:rPr>
      </w:pPr>
      <w:r>
        <w:rPr>
          <w:rFonts w:ascii="Arial" w:cs="Arial" w:eastAsia="Arial" w:hAnsi="Arial"/>
          <w:sz w:val="18"/>
          <w:szCs w:val="18"/>
          <w:color w:val="auto"/>
        </w:rPr>
        <w:t xml:space="preserve">Subject to Section 9(a) relating to Capitalization Adjustments, the aggregate number of shares of Common Stock that may be issued pursuant to Stock Awards from and after the Effective Date will not exceed 4,719,992 shares (the </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67" w:name="page268"/>
    <w:bookmarkEnd w:id="267"/>
    <w:p>
      <w:pPr>
        <w:ind w:left="-8" w:firstLine="921"/>
        <w:spacing w:after="0" w:line="277" w:lineRule="auto"/>
        <w:tabs>
          <w:tab w:leader="none" w:pos="1170" w:val="left"/>
        </w:tabs>
        <w:numPr>
          <w:ilvl w:val="2"/>
          <w:numId w:val="19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clarity, the Share Reserve in this Section 3(a) is a limitation on the number of shares of Common Stock that may be issued pursuant to the Plan. Accordingly, this Section 3(a) does not limit the granting of Stock Awards except as provided in Section 7(a).</w:t>
      </w:r>
    </w:p>
    <w:p>
      <w:pPr>
        <w:spacing w:after="0" w:line="58" w:lineRule="exact"/>
        <w:rPr>
          <w:rFonts w:ascii="Arial" w:cs="Arial" w:eastAsia="Arial" w:hAnsi="Arial"/>
          <w:sz w:val="18"/>
          <w:szCs w:val="18"/>
          <w:b w:val="1"/>
          <w:bCs w:val="1"/>
          <w:color w:val="auto"/>
        </w:rPr>
      </w:pPr>
    </w:p>
    <w:p>
      <w:pPr>
        <w:ind w:left="-8" w:right="80" w:firstLine="464"/>
        <w:spacing w:after="0" w:line="273" w:lineRule="auto"/>
        <w:tabs>
          <w:tab w:leader="none" w:pos="713" w:val="left"/>
        </w:tabs>
        <w:numPr>
          <w:ilvl w:val="1"/>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Reversion of Shares to the Share Reserve</w:t>
      </w:r>
      <w:r>
        <w:rPr>
          <w:rFonts w:ascii="Arial" w:cs="Arial" w:eastAsia="Arial" w:hAnsi="Arial"/>
          <w:sz w:val="17"/>
          <w:szCs w:val="17"/>
          <w:color w:val="auto"/>
        </w:rPr>
        <w:t>. If a Stock Award or any portion thereof (i) expires or otherwise terminates without all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covered by such Stock Award having been issued or (ii) is settled in cash (</w:t>
      </w:r>
      <w:r>
        <w:rPr>
          <w:rFonts w:ascii="Arial" w:cs="Arial" w:eastAsia="Arial" w:hAnsi="Arial"/>
          <w:sz w:val="17"/>
          <w:szCs w:val="17"/>
          <w:i w:val="1"/>
          <w:iCs w:val="1"/>
          <w:color w:val="auto"/>
        </w:rPr>
        <w:t>i.e.</w:t>
      </w:r>
      <w:r>
        <w:rPr>
          <w:rFonts w:ascii="Arial" w:cs="Arial" w:eastAsia="Arial" w:hAnsi="Arial"/>
          <w:sz w:val="17"/>
          <w:szCs w:val="17"/>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64" w:lineRule="exact"/>
        <w:rPr>
          <w:rFonts w:ascii="Arial" w:cs="Arial" w:eastAsia="Arial" w:hAnsi="Arial"/>
          <w:sz w:val="17"/>
          <w:szCs w:val="17"/>
          <w:b w:val="1"/>
          <w:bCs w:val="1"/>
          <w:color w:val="auto"/>
        </w:rPr>
      </w:pPr>
    </w:p>
    <w:p>
      <w:pPr>
        <w:ind w:left="-8" w:right="360" w:firstLine="464"/>
        <w:spacing w:after="0" w:line="266" w:lineRule="auto"/>
        <w:tabs>
          <w:tab w:leader="none" w:pos="693"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 Limit</w:t>
      </w:r>
      <w:r>
        <w:rPr>
          <w:rFonts w:ascii="Arial" w:cs="Arial" w:eastAsia="Arial" w:hAnsi="Arial"/>
          <w:sz w:val="18"/>
          <w:szCs w:val="18"/>
          <w:color w:val="auto"/>
        </w:rPr>
        <w:t>. Subject to the Share Reserve and Section 9(a) relating to Capitalization Adjustments, the aggregate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Common Stock that may be issued pursuant to the exercise of Incentive Stock Options will be a number of shares of Common Stock equal to three (3) multiplied by the Share Reserve.</w:t>
      </w:r>
    </w:p>
    <w:p>
      <w:pPr>
        <w:spacing w:after="0" w:line="68" w:lineRule="exact"/>
        <w:rPr>
          <w:rFonts w:ascii="Arial" w:cs="Arial" w:eastAsia="Arial" w:hAnsi="Arial"/>
          <w:sz w:val="18"/>
          <w:szCs w:val="18"/>
          <w:b w:val="1"/>
          <w:bCs w:val="1"/>
          <w:color w:val="auto"/>
        </w:rPr>
      </w:pPr>
    </w:p>
    <w:p>
      <w:pPr>
        <w:ind w:left="-8" w:right="460" w:firstLine="464"/>
        <w:spacing w:after="0" w:line="282" w:lineRule="auto"/>
        <w:tabs>
          <w:tab w:leader="none" w:pos="713"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67" w:lineRule="exact"/>
        <w:rPr>
          <w:rFonts w:ascii="Arial" w:cs="Arial" w:eastAsia="Arial" w:hAnsi="Arial"/>
          <w:sz w:val="18"/>
          <w:szCs w:val="18"/>
          <w:b w:val="1"/>
          <w:bCs w:val="1"/>
          <w:color w:val="auto"/>
        </w:rPr>
      </w:pPr>
    </w:p>
    <w:p>
      <w:pPr>
        <w:ind w:left="452" w:hanging="452"/>
        <w:spacing w:after="0"/>
        <w:tabs>
          <w:tab w:leader="none" w:pos="452"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LIGIBILITY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 w:right="40" w:firstLine="464"/>
        <w:spacing w:after="0" w:line="273" w:lineRule="auto"/>
        <w:tabs>
          <w:tab w:leader="none" w:pos="703" w:val="left"/>
        </w:tabs>
        <w:numPr>
          <w:ilvl w:val="1"/>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 for Specific Stock Awards</w:t>
      </w:r>
      <w:r>
        <w:rPr>
          <w:rFonts w:ascii="Arial" w:cs="Arial" w:eastAsia="Arial" w:hAnsi="Arial"/>
          <w:sz w:val="17"/>
          <w:szCs w:val="17"/>
          <w:color w:val="auto"/>
        </w:rPr>
        <w:t>. Incentive Stock Options may be granted only to employees of the Company or a “parent 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“subsidiary corporation” thereof (as such terms are defined in Sections 424(e) and 424(f) of the Code). Stock Awards other than Incentive Stock Options may be granted to Employees, Directors and Consultants; </w:t>
      </w:r>
      <w:r>
        <w:rPr>
          <w:rFonts w:ascii="Arial" w:cs="Arial" w:eastAsia="Arial" w:hAnsi="Arial"/>
          <w:sz w:val="17"/>
          <w:szCs w:val="17"/>
          <w:i w:val="1"/>
          <w:iCs w:val="1"/>
          <w:color w:val="auto"/>
        </w:rPr>
        <w:t>provided, however</w:t>
      </w:r>
      <w:r>
        <w:rPr>
          <w:rFonts w:ascii="Arial" w:cs="Arial" w:eastAsia="Arial" w:hAnsi="Arial"/>
          <w:sz w:val="17"/>
          <w:szCs w:val="17"/>
          <w:color w:val="auto"/>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spacing w:after="0" w:line="64" w:lineRule="exact"/>
        <w:rPr>
          <w:rFonts w:ascii="Arial" w:cs="Arial" w:eastAsia="Arial" w:hAnsi="Arial"/>
          <w:sz w:val="17"/>
          <w:szCs w:val="17"/>
          <w:b w:val="1"/>
          <w:bCs w:val="1"/>
          <w:color w:val="auto"/>
        </w:rPr>
      </w:pPr>
    </w:p>
    <w:p>
      <w:pPr>
        <w:ind w:left="-8" w:right="20" w:firstLine="464"/>
        <w:spacing w:after="0" w:line="266" w:lineRule="auto"/>
        <w:tabs>
          <w:tab w:leader="none" w:pos="713"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Ten Percent Stockholders</w:t>
      </w:r>
      <w:r>
        <w:rPr>
          <w:rFonts w:ascii="Arial" w:cs="Arial" w:eastAsia="Arial" w:hAnsi="Arial"/>
          <w:sz w:val="18"/>
          <w:szCs w:val="18"/>
          <w:color w:val="auto"/>
        </w:rPr>
        <w:t>. A Ten Percent Stockholder will not be granted an Incentive Stock Option unless the exercise price of such Option is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one hundred ten percent (110%) of the Fair Market Value on the date of grant and the Option is not exercisable after the expiration of five (5) years from the date of grant.</w:t>
      </w:r>
    </w:p>
    <w:p>
      <w:pPr>
        <w:spacing w:after="0" w:line="68" w:lineRule="exact"/>
        <w:rPr>
          <w:rFonts w:ascii="Arial" w:cs="Arial" w:eastAsia="Arial" w:hAnsi="Arial"/>
          <w:sz w:val="18"/>
          <w:szCs w:val="18"/>
          <w:b w:val="1"/>
          <w:bCs w:val="1"/>
          <w:color w:val="auto"/>
        </w:rPr>
      </w:pPr>
    </w:p>
    <w:p>
      <w:pPr>
        <w:ind w:left="-8" w:right="80" w:firstLine="464"/>
        <w:spacing w:after="0" w:line="258" w:lineRule="auto"/>
        <w:tabs>
          <w:tab w:leader="none" w:pos="693"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Consultants</w:t>
      </w:r>
      <w:r>
        <w:rPr>
          <w:rFonts w:ascii="Arial" w:cs="Arial" w:eastAsia="Arial" w:hAnsi="Arial"/>
          <w:sz w:val="18"/>
          <w:szCs w:val="18"/>
          <w:color w:val="auto"/>
        </w:rPr>
        <w:t>. A Consultant will not be eligible for the grant of a Stock Award if, at the time of grant, either the offer or sale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12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268" w:name="page269"/>
    <w:bookmarkEnd w:id="268"/>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Stock Award Agreement will conform to (through incorporation of provisions hereof by reference in the applicable Stock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otherwise) the substance of each of the following provisions:</w:t>
      </w:r>
    </w:p>
    <w:p>
      <w:pPr>
        <w:spacing w:after="0" w:line="66" w:lineRule="exact"/>
        <w:rPr>
          <w:sz w:val="20"/>
          <w:szCs w:val="20"/>
          <w:color w:val="auto"/>
        </w:rPr>
      </w:pPr>
    </w:p>
    <w:p>
      <w:pPr>
        <w:ind w:right="240" w:firstLine="464"/>
        <w:spacing w:after="0" w:line="282" w:lineRule="auto"/>
        <w:tabs>
          <w:tab w:leader="none" w:pos="711" w:val="left"/>
        </w:tabs>
        <w:numPr>
          <w:ilvl w:val="1"/>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Subject to the provisions of Section 4(b) regarding Ten Percent Stockholders, no Option or SAR will be exercisable after the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 (10) years from the date of its grant or such shorter period specified in the Stock Award Agreement.</w:t>
      </w:r>
    </w:p>
    <w:p>
      <w:pPr>
        <w:spacing w:after="0" w:line="53" w:lineRule="exact"/>
        <w:rPr>
          <w:rFonts w:ascii="Arial" w:cs="Arial" w:eastAsia="Arial" w:hAnsi="Arial"/>
          <w:sz w:val="18"/>
          <w:szCs w:val="18"/>
          <w:b w:val="1"/>
          <w:bCs w:val="1"/>
          <w:color w:val="auto"/>
        </w:rPr>
      </w:pPr>
    </w:p>
    <w:p>
      <w:pPr>
        <w:ind w:firstLine="464"/>
        <w:spacing w:after="0" w:line="274" w:lineRule="auto"/>
        <w:tabs>
          <w:tab w:leader="none" w:pos="721" w:val="left"/>
        </w:tabs>
        <w:numPr>
          <w:ilvl w:val="1"/>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Exercise Price</w:t>
      </w:r>
      <w:r>
        <w:rPr>
          <w:rFonts w:ascii="Arial" w:cs="Arial" w:eastAsia="Arial" w:hAnsi="Arial"/>
          <w:sz w:val="17"/>
          <w:szCs w:val="17"/>
          <w:color w:val="auto"/>
        </w:rPr>
        <w:t>. Subject to the provisions of Section 4(b) regarding Ten Percent Stockholders, the exercise or strike price of each Option or SAR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not less than one hundred percent (100%) of the Fair Market Value of the Common Stock subject to the Option or SAR on the date the Stock Award is granted. Notwithstanding the foregoing, an Option or SAR may be granted with an exercise or strike price lower than one hundred percent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65" w:lineRule="exact"/>
        <w:rPr>
          <w:rFonts w:ascii="Arial" w:cs="Arial" w:eastAsia="Arial" w:hAnsi="Arial"/>
          <w:sz w:val="17"/>
          <w:szCs w:val="17"/>
          <w:b w:val="1"/>
          <w:bCs w:val="1"/>
          <w:color w:val="auto"/>
        </w:rPr>
      </w:pPr>
    </w:p>
    <w:p>
      <w:pPr>
        <w:ind w:right="100" w:firstLine="464"/>
        <w:spacing w:after="0" w:line="303" w:lineRule="auto"/>
        <w:tabs>
          <w:tab w:leader="none" w:pos="701" w:val="left"/>
        </w:tabs>
        <w:numPr>
          <w:ilvl w:val="1"/>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Purchase Price for Options</w:t>
      </w:r>
      <w:r>
        <w:rPr>
          <w:rFonts w:ascii="Arial" w:cs="Arial" w:eastAsia="Arial" w:hAnsi="Arial"/>
          <w:sz w:val="16"/>
          <w:szCs w:val="16"/>
          <w:color w:val="auto"/>
        </w:rPr>
        <w:t>. The purchase price of Common Stock acquired pursuant to the exercise of an Option may be paid,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47" w:lineRule="exact"/>
        <w:rPr>
          <w:rFonts w:ascii="Arial" w:cs="Arial" w:eastAsia="Arial" w:hAnsi="Arial"/>
          <w:sz w:val="16"/>
          <w:szCs w:val="16"/>
          <w:b w:val="1"/>
          <w:bCs w:val="1"/>
          <w:color w:val="auto"/>
        </w:rPr>
      </w:pPr>
    </w:p>
    <w:p>
      <w:pPr>
        <w:ind w:left="1140" w:hanging="219"/>
        <w:spacing w:after="0"/>
        <w:tabs>
          <w:tab w:leader="none" w:pos="1140" w:val="left"/>
        </w:tabs>
        <w:numPr>
          <w:ilvl w:val="2"/>
          <w:numId w:val="203"/>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17" w:lineRule="exact"/>
        <w:rPr>
          <w:rFonts w:ascii="Arial" w:cs="Arial" w:eastAsia="Arial" w:hAnsi="Arial"/>
          <w:sz w:val="18"/>
          <w:szCs w:val="18"/>
          <w:b w:val="1"/>
          <w:bCs w:val="1"/>
          <w:color w:val="auto"/>
        </w:rPr>
      </w:pPr>
    </w:p>
    <w:p>
      <w:pPr>
        <w:ind w:right="260" w:firstLine="921"/>
        <w:spacing w:after="0" w:line="264" w:lineRule="auto"/>
        <w:tabs>
          <w:tab w:leader="none" w:pos="1178" w:val="left"/>
        </w:tabs>
        <w:numPr>
          <w:ilvl w:val="2"/>
          <w:numId w:val="203"/>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73" w:lineRule="exact"/>
        <w:rPr>
          <w:rFonts w:ascii="Arial" w:cs="Arial" w:eastAsia="Arial" w:hAnsi="Arial"/>
          <w:sz w:val="18"/>
          <w:szCs w:val="18"/>
          <w:b w:val="1"/>
          <w:bCs w:val="1"/>
          <w:color w:val="auto"/>
        </w:rPr>
      </w:pPr>
    </w:p>
    <w:p>
      <w:pPr>
        <w:ind w:left="1240" w:hanging="319"/>
        <w:spacing w:after="0"/>
        <w:tabs>
          <w:tab w:leader="none" w:pos="1240" w:val="left"/>
        </w:tabs>
        <w:numPr>
          <w:ilvl w:val="2"/>
          <w:numId w:val="203"/>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17" w:lineRule="exact"/>
        <w:rPr>
          <w:rFonts w:ascii="Arial" w:cs="Arial" w:eastAsia="Arial" w:hAnsi="Arial"/>
          <w:sz w:val="18"/>
          <w:szCs w:val="18"/>
          <w:b w:val="1"/>
          <w:bCs w:val="1"/>
          <w:color w:val="auto"/>
        </w:rPr>
      </w:pPr>
    </w:p>
    <w:p>
      <w:pPr>
        <w:ind w:right="20" w:firstLine="921"/>
        <w:spacing w:after="0" w:line="285" w:lineRule="auto"/>
        <w:tabs>
          <w:tab w:leader="none" w:pos="1218" w:val="left"/>
        </w:tabs>
        <w:numPr>
          <w:ilvl w:val="2"/>
          <w:numId w:val="203"/>
        </w:numPr>
        <w:rPr>
          <w:rFonts w:ascii="Arial" w:cs="Arial" w:eastAsia="Arial" w:hAnsi="Arial"/>
          <w:sz w:val="16"/>
          <w:szCs w:val="16"/>
          <w:b w:val="1"/>
          <w:bCs w:val="1"/>
          <w:color w:val="auto"/>
        </w:rPr>
      </w:pPr>
      <w:r>
        <w:rPr>
          <w:rFonts w:ascii="Arial" w:cs="Arial" w:eastAsia="Arial" w:hAnsi="Arial"/>
          <w:sz w:val="16"/>
          <w:szCs w:val="16"/>
          <w:color w:val="auto"/>
        </w:rPr>
        <w:t>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w:t>
      </w:r>
    </w:p>
    <w:p>
      <w:pPr>
        <w:spacing w:after="0" w:line="2" w:lineRule="exact"/>
        <w:rPr>
          <w:rFonts w:ascii="Arial" w:cs="Arial" w:eastAsia="Arial" w:hAnsi="Arial"/>
          <w:sz w:val="16"/>
          <w:szCs w:val="16"/>
          <w:b w:val="1"/>
          <w:bCs w:val="1"/>
          <w:color w:val="auto"/>
        </w:rPr>
      </w:pPr>
    </w:p>
    <w:p>
      <w:pPr>
        <w:ind w:left="300" w:hanging="292"/>
        <w:spacing w:after="0"/>
        <w:tabs>
          <w:tab w:leader="none" w:pos="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shares are delivered to the Participant as a result of such exercise, and (C) shares are withheld to satisfy tax withholding obligations;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269" w:name="page270"/>
    <w:bookmarkEnd w:id="269"/>
    <w:p>
      <w:pPr>
        <w:ind w:left="-20" w:right="420" w:firstLine="921"/>
        <w:spacing w:after="0" w:line="259" w:lineRule="auto"/>
        <w:tabs>
          <w:tab w:leader="none" w:pos="1148" w:val="left"/>
        </w:tabs>
        <w:numPr>
          <w:ilvl w:val="1"/>
          <w:numId w:val="20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according to a deferred payment or similar arrangement with the Optionholder;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78" w:lineRule="exact"/>
        <w:rPr>
          <w:rFonts w:ascii="Arial" w:cs="Arial" w:eastAsia="Arial" w:hAnsi="Arial"/>
          <w:sz w:val="18"/>
          <w:szCs w:val="18"/>
          <w:b w:val="1"/>
          <w:bCs w:val="1"/>
          <w:color w:val="auto"/>
        </w:rPr>
      </w:pPr>
    </w:p>
    <w:p>
      <w:pPr>
        <w:ind w:left="1200" w:hanging="299"/>
        <w:spacing w:after="0"/>
        <w:tabs>
          <w:tab w:leader="none" w:pos="1200" w:val="left"/>
        </w:tabs>
        <w:numPr>
          <w:ilvl w:val="1"/>
          <w:numId w:val="205"/>
        </w:numPr>
        <w:rPr>
          <w:rFonts w:ascii="Arial" w:cs="Arial" w:eastAsia="Arial" w:hAnsi="Arial"/>
          <w:sz w:val="17"/>
          <w:szCs w:val="17"/>
          <w:b w:val="1"/>
          <w:bCs w:val="1"/>
          <w:color w:val="auto"/>
        </w:rPr>
      </w:pPr>
      <w:r>
        <w:rPr>
          <w:rFonts w:ascii="Arial" w:cs="Arial" w:eastAsia="Arial" w:hAnsi="Arial"/>
          <w:sz w:val="17"/>
          <w:szCs w:val="17"/>
          <w:color w:val="auto"/>
        </w:rPr>
        <w:t>in any other form of legal consideration that may be acceptable to the Board and specified in the applicable Stock Award Agreement.</w:t>
      </w:r>
    </w:p>
    <w:p>
      <w:pPr>
        <w:spacing w:after="0" w:line="124" w:lineRule="exact"/>
        <w:rPr>
          <w:rFonts w:ascii="Arial" w:cs="Arial" w:eastAsia="Arial" w:hAnsi="Arial"/>
          <w:sz w:val="17"/>
          <w:szCs w:val="17"/>
          <w:b w:val="1"/>
          <w:bCs w:val="1"/>
          <w:color w:val="auto"/>
        </w:rPr>
      </w:pPr>
    </w:p>
    <w:p>
      <w:pPr>
        <w:ind w:left="-20" w:firstLine="464"/>
        <w:spacing w:after="0" w:line="295" w:lineRule="auto"/>
        <w:tabs>
          <w:tab w:leader="none" w:pos="701"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Exercise and Payment of a SAR</w:t>
      </w:r>
      <w:r>
        <w:rPr>
          <w:rFonts w:ascii="Arial" w:cs="Arial" w:eastAsia="Arial" w:hAnsi="Arial"/>
          <w:sz w:val="16"/>
          <w:szCs w:val="16"/>
          <w:color w:val="auto"/>
        </w:rPr>
        <w:t>. To exercise any outstanding SAR, the Participant must provide written notice of exercise to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the provisions of the Stock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strike price. The appreciation distribution may be paid in Common Stock, in cash, in any combination of the two or in any other form of consideration, as determined by the Board and contained in the Stock Award Agreement evidencing such SAR.</w:t>
      </w:r>
    </w:p>
    <w:p>
      <w:pPr>
        <w:spacing w:after="0" w:line="47" w:lineRule="exact"/>
        <w:rPr>
          <w:rFonts w:ascii="Arial" w:cs="Arial" w:eastAsia="Arial" w:hAnsi="Arial"/>
          <w:sz w:val="16"/>
          <w:szCs w:val="16"/>
          <w:b w:val="1"/>
          <w:bCs w:val="1"/>
          <w:color w:val="auto"/>
        </w:rPr>
      </w:pPr>
    </w:p>
    <w:p>
      <w:pPr>
        <w:ind w:left="-20" w:right="40" w:firstLine="464"/>
        <w:spacing w:after="0" w:line="266" w:lineRule="auto"/>
        <w:tabs>
          <w:tab w:leader="none" w:pos="681"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 of Options and SARs</w:t>
      </w:r>
      <w:r>
        <w:rPr>
          <w:rFonts w:ascii="Arial" w:cs="Arial" w:eastAsia="Arial" w:hAnsi="Arial"/>
          <w:sz w:val="18"/>
          <w:szCs w:val="18"/>
          <w:color w:val="auto"/>
        </w:rPr>
        <w:t>. The Board may, in its sole discretion, impose such limitations on the transferability of Options and SARs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will determine. In the absence of such a determination by the Board to the contrary, the following restrictions on the transferability of Options and SARs will apply:</w:t>
      </w:r>
    </w:p>
    <w:p>
      <w:pPr>
        <w:spacing w:after="0" w:line="68" w:lineRule="exact"/>
        <w:rPr>
          <w:rFonts w:ascii="Arial" w:cs="Arial" w:eastAsia="Arial" w:hAnsi="Arial"/>
          <w:sz w:val="18"/>
          <w:szCs w:val="18"/>
          <w:b w:val="1"/>
          <w:bCs w:val="1"/>
          <w:color w:val="auto"/>
        </w:rPr>
      </w:pPr>
    </w:p>
    <w:p>
      <w:pPr>
        <w:jc w:val="both"/>
        <w:ind w:left="-20" w:firstLine="921"/>
        <w:spacing w:after="0" w:line="261" w:lineRule="auto"/>
        <w:tabs>
          <w:tab w:leader="none" w:pos="1108"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or SAR will not be transferable except by will or by the laws of descent and distribution (and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71" w:lineRule="exact"/>
        <w:rPr>
          <w:rFonts w:ascii="Arial" w:cs="Arial" w:eastAsia="Arial" w:hAnsi="Arial"/>
          <w:sz w:val="18"/>
          <w:szCs w:val="18"/>
          <w:b w:val="1"/>
          <w:bCs w:val="1"/>
          <w:color w:val="auto"/>
        </w:rPr>
      </w:pPr>
    </w:p>
    <w:p>
      <w:pPr>
        <w:ind w:left="-20" w:right="240" w:firstLine="921"/>
        <w:spacing w:after="0" w:line="261" w:lineRule="auto"/>
        <w:tabs>
          <w:tab w:leader="none" w:pos="1158"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Domestic Relations Orders</w:t>
      </w:r>
      <w:r>
        <w:rPr>
          <w:rFonts w:ascii="Arial" w:cs="Arial" w:eastAsia="Arial" w:hAnsi="Arial"/>
          <w:sz w:val="18"/>
          <w:szCs w:val="18"/>
          <w:color w:val="auto"/>
        </w:rPr>
        <w:t>. 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71" w:lineRule="exact"/>
        <w:rPr>
          <w:rFonts w:ascii="Arial" w:cs="Arial" w:eastAsia="Arial" w:hAnsi="Arial"/>
          <w:sz w:val="18"/>
          <w:szCs w:val="18"/>
          <w:b w:val="1"/>
          <w:bCs w:val="1"/>
          <w:color w:val="auto"/>
        </w:rPr>
      </w:pPr>
    </w:p>
    <w:p>
      <w:pPr>
        <w:ind w:left="-20" w:right="80" w:firstLine="921"/>
        <w:spacing w:after="0" w:line="274" w:lineRule="auto"/>
        <w:tabs>
          <w:tab w:leader="none" w:pos="1208" w:val="left"/>
        </w:tabs>
        <w:numPr>
          <w:ilvl w:val="1"/>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Beneficiary Designation</w:t>
      </w:r>
      <w:r>
        <w:rPr>
          <w:rFonts w:ascii="Arial" w:cs="Arial" w:eastAsia="Arial" w:hAnsi="Arial"/>
          <w:sz w:val="17"/>
          <w:szCs w:val="17"/>
          <w:color w:val="auto"/>
        </w:rPr>
        <w:t>. Subject to the approval of the Board or a duly authorized Officer, a Participant may, by delivering written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4" w:right="239" w:bottom="1440" w:gutter="0" w:footer="0" w:header="0"/>
        </w:sectPr>
      </w:pPr>
    </w:p>
    <w:bookmarkStart w:id="270" w:name="page271"/>
    <w:bookmarkEnd w:id="270"/>
    <w:p>
      <w:pPr>
        <w:ind w:right="80" w:firstLine="464"/>
        <w:spacing w:after="0" w:line="258" w:lineRule="auto"/>
        <w:tabs>
          <w:tab w:leader="none" w:pos="681"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Generally</w:t>
      </w:r>
      <w:r>
        <w:rPr>
          <w:rFonts w:ascii="Arial" w:cs="Arial" w:eastAsia="Arial" w:hAnsi="Arial"/>
          <w:sz w:val="18"/>
          <w:szCs w:val="18"/>
          <w:color w:val="auto"/>
        </w:rPr>
        <w:t>. The total number of shares of Common Stock subject to an Option or SAR may vest and therefore become exercisable in</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75" w:lineRule="exact"/>
        <w:rPr>
          <w:rFonts w:ascii="Arial" w:cs="Arial" w:eastAsia="Arial" w:hAnsi="Arial"/>
          <w:sz w:val="18"/>
          <w:szCs w:val="18"/>
          <w:b w:val="1"/>
          <w:bCs w:val="1"/>
          <w:color w:val="auto"/>
        </w:rPr>
      </w:pPr>
    </w:p>
    <w:p>
      <w:pPr>
        <w:ind w:right="20" w:firstLine="464"/>
        <w:spacing w:after="0" w:line="272" w:lineRule="auto"/>
        <w:tabs>
          <w:tab w:leader="none" w:pos="711"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Continuous Service</w:t>
      </w:r>
      <w:r>
        <w:rPr>
          <w:rFonts w:ascii="Arial" w:cs="Arial" w:eastAsia="Arial" w:hAnsi="Arial"/>
          <w:sz w:val="17"/>
          <w:szCs w:val="17"/>
          <w:color w:val="auto"/>
        </w:rPr>
        <w:t>. Except as otherwise provided in the applicable Stock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three (3) months following the termination of the Participant’s Continuous Service (or such longer or shorter period specified in the applicable Stock Award Agreement, which period will not be less than thirty (30) days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64" w:lineRule="exact"/>
        <w:rPr>
          <w:rFonts w:ascii="Arial" w:cs="Arial" w:eastAsia="Arial" w:hAnsi="Arial"/>
          <w:sz w:val="17"/>
          <w:szCs w:val="17"/>
          <w:b w:val="1"/>
          <w:bCs w:val="1"/>
          <w:color w:val="auto"/>
        </w:rPr>
      </w:pPr>
    </w:p>
    <w:p>
      <w:pPr>
        <w:ind w:left="720" w:hanging="256"/>
        <w:spacing w:after="0"/>
        <w:tabs>
          <w:tab w:leader="none" w:pos="720"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Extension of Termination Date</w:t>
      </w:r>
      <w:r>
        <w:rPr>
          <w:rFonts w:ascii="Arial" w:cs="Arial" w:eastAsia="Arial" w:hAnsi="Arial"/>
          <w:sz w:val="17"/>
          <w:szCs w:val="17"/>
          <w:color w:val="auto"/>
        </w:rPr>
        <w:t>. Except as otherwise provided in the applicable Stock Award Agreement or other agreement between the</w:t>
      </w:r>
    </w:p>
    <w:p>
      <w:pPr>
        <w:spacing w:after="0" w:line="38" w:lineRule="exact"/>
        <w:rPr>
          <w:rFonts w:ascii="Arial" w:cs="Arial" w:eastAsia="Arial" w:hAnsi="Arial"/>
          <w:sz w:val="17"/>
          <w:szCs w:val="17"/>
          <w:b w:val="1"/>
          <w:bCs w:val="1"/>
          <w:color w:val="auto"/>
        </w:rPr>
      </w:pPr>
    </w:p>
    <w:p>
      <w:pPr>
        <w:ind w:right="2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Participant and the 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w:t>
      </w:r>
    </w:p>
    <w:p>
      <w:pPr>
        <w:spacing w:after="0" w:line="2" w:lineRule="exact"/>
        <w:rPr>
          <w:rFonts w:ascii="Arial" w:cs="Arial" w:eastAsia="Arial" w:hAnsi="Arial"/>
          <w:sz w:val="17"/>
          <w:szCs w:val="17"/>
          <w:b w:val="1"/>
          <w:bCs w:val="1"/>
          <w:color w:val="auto"/>
        </w:rPr>
      </w:pPr>
    </w:p>
    <w:p>
      <w:pPr>
        <w:ind w:right="8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three (3) months (that need not be consecutive) after the termination of the Participant’s Continuous Service during which the exercise of the Option or SAR would not be in violation of such registration requirements, or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Stock Award Agreement.</w:t>
      </w:r>
    </w:p>
    <w:p>
      <w:pPr>
        <w:spacing w:after="0" w:line="79" w:lineRule="exact"/>
        <w:rPr>
          <w:rFonts w:ascii="Arial" w:cs="Arial" w:eastAsia="Arial" w:hAnsi="Arial"/>
          <w:sz w:val="17"/>
          <w:szCs w:val="17"/>
          <w:b w:val="1"/>
          <w:bCs w:val="1"/>
          <w:color w:val="auto"/>
        </w:rPr>
      </w:pPr>
    </w:p>
    <w:p>
      <w:pPr>
        <w:ind w:firstLine="464"/>
        <w:spacing w:after="0" w:line="273" w:lineRule="auto"/>
        <w:tabs>
          <w:tab w:leader="none" w:pos="671"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Disability of Participant</w:t>
      </w:r>
      <w:r>
        <w:rPr>
          <w:rFonts w:ascii="Arial" w:cs="Arial" w:eastAsia="Arial" w:hAnsi="Arial"/>
          <w:sz w:val="17"/>
          <w:szCs w:val="17"/>
          <w:color w:val="auto"/>
        </w:rPr>
        <w:t>. Except as otherwise provided in the applicable Stock Award Agreement or other agreement between the Participant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Stock Award Agreement, which period will not be less than six (6) months if necessary to comply with applicable laws),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0" w:right="279" w:bottom="1440" w:gutter="0" w:footer="0" w:header="0"/>
        </w:sectPr>
      </w:pPr>
    </w:p>
    <w:bookmarkStart w:id="271" w:name="page272"/>
    <w:bookmarkEnd w:id="271"/>
    <w:p>
      <w:pPr>
        <w:ind w:right="20" w:firstLine="464"/>
        <w:spacing w:after="0" w:line="285" w:lineRule="auto"/>
        <w:tabs>
          <w:tab w:leader="none" w:pos="681" w:val="left"/>
        </w:tabs>
        <w:numPr>
          <w:ilvl w:val="1"/>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of Participant</w:t>
      </w:r>
      <w:r>
        <w:rPr>
          <w:rFonts w:ascii="Arial" w:cs="Arial" w:eastAsia="Arial" w:hAnsi="Arial"/>
          <w:sz w:val="16"/>
          <w:szCs w:val="16"/>
          <w:color w:val="auto"/>
        </w:rPr>
        <w:t>. Except as otherwise provided in the applicable Stock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Stock Award Agreement, which period will not be less than six (6) months if necessary to comply with applicable laws), and</w:t>
      </w:r>
    </w:p>
    <w:p>
      <w:pPr>
        <w:spacing w:after="0" w:line="1" w:lineRule="exact"/>
        <w:rPr>
          <w:rFonts w:ascii="Arial" w:cs="Arial" w:eastAsia="Arial" w:hAnsi="Arial"/>
          <w:sz w:val="16"/>
          <w:szCs w:val="16"/>
          <w:b w:val="1"/>
          <w:bCs w:val="1"/>
          <w:color w:val="auto"/>
        </w:rPr>
      </w:pPr>
    </w:p>
    <w:p>
      <w:pPr>
        <w:ind w:right="360" w:firstLine="8"/>
        <w:spacing w:after="0" w:line="261" w:lineRule="auto"/>
        <w:tabs>
          <w:tab w:leader="none" w:pos="26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expiration of the term of such Option or SAR as set forth in the Stock Award Agreement. If, after the Participant’s death, the Option or SAR is not exercised within the applicable time frame, the Option or SAR (as applicable) will terminate.</w:t>
      </w:r>
    </w:p>
    <w:p>
      <w:pPr>
        <w:spacing w:after="0" w:line="71" w:lineRule="exact"/>
        <w:rPr>
          <w:rFonts w:ascii="Arial" w:cs="Arial" w:eastAsia="Arial" w:hAnsi="Arial"/>
          <w:sz w:val="18"/>
          <w:szCs w:val="18"/>
          <w:color w:val="auto"/>
        </w:rPr>
      </w:pPr>
    </w:p>
    <w:p>
      <w:pPr>
        <w:ind w:right="60" w:firstLine="464"/>
        <w:spacing w:after="0" w:line="261" w:lineRule="auto"/>
        <w:tabs>
          <w:tab w:leader="none" w:pos="721" w:val="left"/>
        </w:tabs>
        <w:numPr>
          <w:ilvl w:val="1"/>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Except as explicitly provided otherwise in a Participant’s Stock Award Agreement or other individual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71" w:lineRule="exact"/>
        <w:rPr>
          <w:rFonts w:ascii="Arial" w:cs="Arial" w:eastAsia="Arial" w:hAnsi="Arial"/>
          <w:sz w:val="18"/>
          <w:szCs w:val="18"/>
          <w:b w:val="1"/>
          <w:bCs w:val="1"/>
          <w:color w:val="auto"/>
        </w:rPr>
      </w:pPr>
    </w:p>
    <w:p>
      <w:pPr>
        <w:jc w:val="both"/>
        <w:ind w:right="60" w:firstLine="464"/>
        <w:spacing w:after="0" w:line="289" w:lineRule="auto"/>
        <w:tabs>
          <w:tab w:leader="none" w:pos="671" w:val="left"/>
        </w:tabs>
        <w:numPr>
          <w:ilvl w:val="1"/>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Non-Exempt Employees</w:t>
      </w:r>
      <w:r>
        <w:rPr>
          <w:rFonts w:ascii="Arial" w:cs="Arial" w:eastAsia="Arial" w:hAnsi="Arial"/>
          <w:sz w:val="16"/>
          <w:szCs w:val="16"/>
          <w:color w:val="auto"/>
        </w:rPr>
        <w:t>. If an Option or SAR is granted to an Employee who is a non-exempt employee for purposes of the Fair Labor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Act of 1938, as amended, the Option or SAR will not be first exercisable for any shares of Common Stock until at least six (6) months following the date of grant of the Option or SAR (although the Stock Award may vest prior to such date). Consistent with the provisions of the Worker Economic Opportunity Act,</w:t>
      </w:r>
    </w:p>
    <w:p>
      <w:pPr>
        <w:spacing w:after="0" w:line="1" w:lineRule="exact"/>
        <w:rPr>
          <w:rFonts w:ascii="Arial" w:cs="Arial" w:eastAsia="Arial" w:hAnsi="Arial"/>
          <w:sz w:val="16"/>
          <w:szCs w:val="16"/>
          <w:b w:val="1"/>
          <w:bCs w:val="1"/>
          <w:color w:val="auto"/>
        </w:rPr>
      </w:pPr>
    </w:p>
    <w:p>
      <w:pPr>
        <w:ind w:firstLine="8"/>
        <w:spacing w:after="0" w:line="268" w:lineRule="auto"/>
        <w:tabs>
          <w:tab w:leader="none" w:pos="21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69" w:lineRule="exact"/>
        <w:rPr>
          <w:rFonts w:ascii="Arial" w:cs="Arial" w:eastAsia="Arial" w:hAnsi="Arial"/>
          <w:sz w:val="17"/>
          <w:szCs w:val="17"/>
          <w:color w:val="auto"/>
        </w:rPr>
      </w:pPr>
    </w:p>
    <w:p>
      <w:pPr>
        <w:ind w:firstLine="464"/>
        <w:spacing w:after="0" w:line="255" w:lineRule="auto"/>
        <w:tabs>
          <w:tab w:leader="none" w:pos="771" w:val="left"/>
        </w:tabs>
        <w:numPr>
          <w:ilvl w:val="1"/>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Early Exercise of Options</w:t>
      </w:r>
      <w:r>
        <w:rPr>
          <w:rFonts w:ascii="Arial" w:cs="Arial" w:eastAsia="Arial" w:hAnsi="Arial"/>
          <w:sz w:val="18"/>
          <w:szCs w:val="18"/>
          <w:color w:val="auto"/>
        </w:rPr>
        <w:t>. An Option may, but need not, include a provision whereby the Optionholder may elect at any time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Optionholder’s Continuous Service terminates to exercise the Option as to any part or all of the shares of Common Stock subject to the Option prior to the full vesting of the Option. Subject to the “Repurchase Limitation” in Section 8(m), any unvested shares of Common Stock so purchased may be subject to a repurchase right in favor of the Company or to any other restriction the Board determines to be appropriate. Provided that the “Repurchase Limitation” in Section 8(m) is not violated, the Company will not be required to exercise its repurchase right until at least six (6)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272" w:name="page273"/>
    <w:bookmarkEnd w:id="272"/>
    <w:p>
      <w:pPr>
        <w:ind w:left="-8" w:right="100" w:firstLine="464"/>
        <w:spacing w:after="0" w:line="347" w:lineRule="auto"/>
        <w:tabs>
          <w:tab w:leader="none" w:pos="713" w:val="left"/>
        </w:tabs>
        <w:numPr>
          <w:ilvl w:val="1"/>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of Repurchase</w:t>
      </w:r>
      <w:r>
        <w:rPr>
          <w:rFonts w:ascii="Arial" w:cs="Arial" w:eastAsia="Arial" w:hAnsi="Arial"/>
          <w:sz w:val="16"/>
          <w:szCs w:val="16"/>
          <w:color w:val="auto"/>
        </w:rPr>
        <w:t>. Subject to the “Repurchase Limitation” in Section 8(m), the Option or SAR may include a provision whereby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may elect to repurchase all or any part of the vested shares of Common Stock acquired by the Participant pursuant to the exercise of the Option or SAR.</w:t>
      </w:r>
    </w:p>
    <w:p>
      <w:pPr>
        <w:spacing w:after="0" w:line="8" w:lineRule="exact"/>
        <w:rPr>
          <w:rFonts w:ascii="Arial" w:cs="Arial" w:eastAsia="Arial" w:hAnsi="Arial"/>
          <w:sz w:val="16"/>
          <w:szCs w:val="16"/>
          <w:b w:val="1"/>
          <w:bCs w:val="1"/>
          <w:color w:val="auto"/>
        </w:rPr>
      </w:pPr>
    </w:p>
    <w:p>
      <w:pPr>
        <w:ind w:left="-8" w:right="80" w:firstLine="464"/>
        <w:spacing w:after="0" w:line="281" w:lineRule="auto"/>
        <w:tabs>
          <w:tab w:leader="none" w:pos="703" w:val="left"/>
        </w:tabs>
        <w:numPr>
          <w:ilvl w:val="1"/>
          <w:numId w:val="211"/>
        </w:numPr>
        <w:rPr>
          <w:rFonts w:ascii="Arial" w:cs="Arial" w:eastAsia="Arial" w:hAnsi="Arial"/>
          <w:sz w:val="17"/>
          <w:szCs w:val="17"/>
          <w:b w:val="1"/>
          <w:bCs w:val="1"/>
          <w:color w:val="auto"/>
        </w:rPr>
      </w:pPr>
      <w:r>
        <w:rPr>
          <w:rFonts w:ascii="Arial" w:cs="Arial" w:eastAsia="Arial" w:hAnsi="Arial"/>
          <w:sz w:val="17"/>
          <w:szCs w:val="17"/>
          <w:b w:val="1"/>
          <w:bCs w:val="1"/>
          <w:color w:val="auto"/>
        </w:rPr>
        <w:t>Right of First Refusal</w:t>
      </w:r>
      <w:r>
        <w:rPr>
          <w:rFonts w:ascii="Arial" w:cs="Arial" w:eastAsia="Arial" w:hAnsi="Arial"/>
          <w:sz w:val="17"/>
          <w:szCs w:val="17"/>
          <w:color w:val="auto"/>
        </w:rPr>
        <w:t>. The Option or SAR may include a provision whereby the Company may elect to exercise a right of first refusal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of notice from the Participant of the intent to transfer all or any part of the shares of Common Stock received upon the exercise of the Option or SAR. Such right of first refusal will be subject to the “Repurchase Limitation” in Section 8(m). Except as expressly provided in this Section 5(o) or in the Stock Award Agreement, such right of first refusal will otherwise comply with any applicable provisions of the bylaws of the Company.</w:t>
      </w:r>
    </w:p>
    <w:p>
      <w:pPr>
        <w:spacing w:after="0" w:line="70" w:lineRule="exact"/>
        <w:rPr>
          <w:rFonts w:ascii="Arial" w:cs="Arial" w:eastAsia="Arial" w:hAnsi="Arial"/>
          <w:sz w:val="17"/>
          <w:szCs w:val="17"/>
          <w:b w:val="1"/>
          <w:bCs w:val="1"/>
          <w:color w:val="auto"/>
        </w:rPr>
      </w:pPr>
    </w:p>
    <w:p>
      <w:pPr>
        <w:ind w:left="452" w:hanging="452"/>
        <w:spacing w:after="0"/>
        <w:tabs>
          <w:tab w:leader="none" w:pos="452"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THER THAN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5"/>
          <w:szCs w:val="15"/>
          <w:b w:val="1"/>
          <w:bCs w:val="1"/>
          <w:color w:val="auto"/>
        </w:rPr>
        <w: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 w:right="60" w:firstLine="464"/>
        <w:spacing w:after="0" w:line="295" w:lineRule="auto"/>
        <w:tabs>
          <w:tab w:leader="none" w:pos="703" w:val="left"/>
        </w:tabs>
        <w:numPr>
          <w:ilvl w:val="1"/>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Restricted Stock Awards</w:t>
      </w:r>
      <w:r>
        <w:rPr>
          <w:rFonts w:ascii="Arial" w:cs="Arial" w:eastAsia="Arial" w:hAnsi="Arial"/>
          <w:sz w:val="16"/>
          <w:szCs w:val="16"/>
          <w:color w:val="auto"/>
        </w:rPr>
        <w:t>. Each Restricted Stock Award Agreement will be in such form and will contain such terms and conditions as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deems appropriate. To the extent consistent with the Company’s bylaws, at the Board’s election, shares of Common Stock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47" w:lineRule="exact"/>
        <w:rPr>
          <w:rFonts w:ascii="Arial" w:cs="Arial" w:eastAsia="Arial" w:hAnsi="Arial"/>
          <w:sz w:val="16"/>
          <w:szCs w:val="16"/>
          <w:b w:val="1"/>
          <w:bCs w:val="1"/>
          <w:color w:val="auto"/>
        </w:rPr>
      </w:pPr>
    </w:p>
    <w:p>
      <w:pPr>
        <w:ind w:left="-8" w:right="100" w:firstLine="921"/>
        <w:spacing w:after="0" w:line="266" w:lineRule="auto"/>
        <w:tabs>
          <w:tab w:leader="none" w:pos="1120" w:val="left"/>
        </w:tabs>
        <w:numPr>
          <w:ilvl w:val="2"/>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cash, check, bank draft or money order payable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 past services to the Company or an Affiliate, or (C) any other form of legal consideration (including future services) that may be acceptable to the Board, in its sole discretion, and permissible under applicable law.</w:t>
      </w:r>
    </w:p>
    <w:p>
      <w:pPr>
        <w:spacing w:after="0" w:line="68" w:lineRule="exact"/>
        <w:rPr>
          <w:rFonts w:ascii="Arial" w:cs="Arial" w:eastAsia="Arial" w:hAnsi="Arial"/>
          <w:sz w:val="18"/>
          <w:szCs w:val="18"/>
          <w:b w:val="1"/>
          <w:bCs w:val="1"/>
          <w:color w:val="auto"/>
        </w:rPr>
      </w:pPr>
    </w:p>
    <w:p>
      <w:pPr>
        <w:ind w:left="-8" w:right="520" w:firstLine="921"/>
        <w:spacing w:after="0" w:line="313" w:lineRule="auto"/>
        <w:tabs>
          <w:tab w:leader="none" w:pos="1170" w:val="left"/>
        </w:tabs>
        <w:numPr>
          <w:ilvl w:val="2"/>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Subject to the “Repurchase Limitation” in Section 8(m), shares of Common Stock awarded under the Restricted Stock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may be subject to forfeiture to the Company in accordance with a vesting schedule to be determined by the Board.</w:t>
      </w:r>
    </w:p>
    <w:p>
      <w:pPr>
        <w:spacing w:after="0" w:line="30" w:lineRule="exact"/>
        <w:rPr>
          <w:rFonts w:ascii="Arial" w:cs="Arial" w:eastAsia="Arial" w:hAnsi="Arial"/>
          <w:sz w:val="17"/>
          <w:szCs w:val="17"/>
          <w:b w:val="1"/>
          <w:bCs w:val="1"/>
          <w:color w:val="auto"/>
        </w:rPr>
      </w:pPr>
    </w:p>
    <w:p>
      <w:pPr>
        <w:jc w:val="both"/>
        <w:ind w:left="-8" w:right="160" w:firstLine="921"/>
        <w:spacing w:after="0" w:line="266" w:lineRule="auto"/>
        <w:tabs>
          <w:tab w:leader="none" w:pos="1220" w:val="left"/>
        </w:tabs>
        <w:numPr>
          <w:ilvl w:val="2"/>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If a Participant’s Continuous Service terminates, the Company may receive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condition or a repurchase right, any or all of the shares of Common Stock held by the Participant that have not vested as of the date of termination of Continuous Service under the terms of the Restricted Stock Award Agreement.</w:t>
      </w:r>
    </w:p>
    <w:p>
      <w:pPr>
        <w:spacing w:after="0" w:line="68" w:lineRule="exact"/>
        <w:rPr>
          <w:rFonts w:ascii="Arial" w:cs="Arial" w:eastAsia="Arial" w:hAnsi="Arial"/>
          <w:sz w:val="18"/>
          <w:szCs w:val="18"/>
          <w:b w:val="1"/>
          <w:bCs w:val="1"/>
          <w:color w:val="auto"/>
        </w:rPr>
      </w:pPr>
    </w:p>
    <w:p>
      <w:pPr>
        <w:ind w:left="-8" w:right="160" w:firstLine="921"/>
        <w:spacing w:after="0" w:line="314" w:lineRule="auto"/>
        <w:tabs>
          <w:tab w:leader="none" w:pos="1210" w:val="left"/>
        </w:tabs>
        <w:numPr>
          <w:ilvl w:val="2"/>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w:t>
      </w:r>
      <w:r>
        <w:rPr>
          <w:rFonts w:ascii="Arial" w:cs="Arial" w:eastAsia="Arial" w:hAnsi="Arial"/>
          <w:sz w:val="16"/>
          <w:szCs w:val="16"/>
          <w:color w:val="auto"/>
        </w:rPr>
        <w:t>. Rights to acquire shares of Common Stock under the Restricted Stock Award Agreement will be transferable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34" w:lineRule="exact"/>
        <w:rPr>
          <w:rFonts w:ascii="Arial" w:cs="Arial" w:eastAsia="Arial" w:hAnsi="Arial"/>
          <w:sz w:val="16"/>
          <w:szCs w:val="16"/>
          <w:b w:val="1"/>
          <w:bCs w:val="1"/>
          <w:color w:val="auto"/>
        </w:rPr>
      </w:pPr>
    </w:p>
    <w:p>
      <w:pPr>
        <w:ind w:left="-8" w:firstLine="921"/>
        <w:spacing w:after="0" w:line="282" w:lineRule="auto"/>
        <w:tabs>
          <w:tab w:leader="none" w:pos="1160" w:val="left"/>
        </w:tabs>
        <w:numPr>
          <w:ilvl w:val="2"/>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A Restricted Stock Award Agreement may provide that any dividends paid on Restricted Stock will be subject to the same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forfeiture restrictions as apply to the shares subject to the Restricted Stock Award to which they relate.</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0" w:right="259" w:bottom="1440" w:gutter="0" w:footer="0" w:header="0"/>
        </w:sectPr>
      </w:pPr>
    </w:p>
    <w:bookmarkStart w:id="273" w:name="page274"/>
    <w:bookmarkEnd w:id="273"/>
    <w:p>
      <w:pPr>
        <w:ind w:left="-20" w:right="20" w:firstLine="464"/>
        <w:spacing w:after="0" w:line="281" w:lineRule="auto"/>
        <w:tabs>
          <w:tab w:leader="none" w:pos="701"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Unit Awards</w:t>
      </w:r>
      <w:r>
        <w:rPr>
          <w:rFonts w:ascii="Arial" w:cs="Arial" w:eastAsia="Arial" w:hAnsi="Arial"/>
          <w:sz w:val="17"/>
          <w:szCs w:val="17"/>
          <w:color w:val="auto"/>
        </w:rPr>
        <w:t>. Each Restricted Stock Unit Award Agreement will be in such form and will contain such terms and conditions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56" w:lineRule="exact"/>
        <w:rPr>
          <w:rFonts w:ascii="Arial" w:cs="Arial" w:eastAsia="Arial" w:hAnsi="Arial"/>
          <w:sz w:val="17"/>
          <w:szCs w:val="17"/>
          <w:b w:val="1"/>
          <w:bCs w:val="1"/>
          <w:color w:val="auto"/>
        </w:rPr>
      </w:pPr>
    </w:p>
    <w:p>
      <w:pPr>
        <w:ind w:left="-20" w:right="60" w:firstLine="921"/>
        <w:spacing w:after="0" w:line="261" w:lineRule="auto"/>
        <w:tabs>
          <w:tab w:leader="none" w:pos="1108"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At the time of grant of a Restricted Stock Unit Award, the Board will determine the consideration, if any, to be paid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71" w:lineRule="exact"/>
        <w:rPr>
          <w:rFonts w:ascii="Arial" w:cs="Arial" w:eastAsia="Arial" w:hAnsi="Arial"/>
          <w:sz w:val="18"/>
          <w:szCs w:val="18"/>
          <w:b w:val="1"/>
          <w:bCs w:val="1"/>
          <w:color w:val="auto"/>
        </w:rPr>
      </w:pPr>
    </w:p>
    <w:p>
      <w:pPr>
        <w:ind w:left="-20" w:right="80" w:firstLine="921"/>
        <w:spacing w:after="0" w:line="282" w:lineRule="auto"/>
        <w:tabs>
          <w:tab w:leader="none" w:pos="1158"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At the time of the grant of a Restricted Stock Unit Award, the Board may impose such restrictions on or conditions to the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Unit Award as it, in its sole discretion, deems appropriate.</w:t>
      </w:r>
    </w:p>
    <w:p>
      <w:pPr>
        <w:spacing w:after="0" w:line="53" w:lineRule="exact"/>
        <w:rPr>
          <w:rFonts w:ascii="Arial" w:cs="Arial" w:eastAsia="Arial" w:hAnsi="Arial"/>
          <w:sz w:val="18"/>
          <w:szCs w:val="18"/>
          <w:b w:val="1"/>
          <w:bCs w:val="1"/>
          <w:color w:val="auto"/>
        </w:rPr>
      </w:pPr>
    </w:p>
    <w:p>
      <w:pPr>
        <w:ind w:left="-20" w:right="20" w:firstLine="921"/>
        <w:spacing w:after="0" w:line="313" w:lineRule="auto"/>
        <w:tabs>
          <w:tab w:leader="none" w:pos="1208" w:val="left"/>
        </w:tabs>
        <w:numPr>
          <w:ilvl w:val="1"/>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t>Payment</w:t>
      </w:r>
      <w:r>
        <w:rPr>
          <w:rFonts w:ascii="Arial" w:cs="Arial" w:eastAsia="Arial" w:hAnsi="Arial"/>
          <w:sz w:val="17"/>
          <w:szCs w:val="17"/>
          <w:color w:val="auto"/>
        </w:rPr>
        <w:t>. A Restricted Stock Unit Award may be settled by the delivery of shares of Common Stock, their cash equivalent, any combination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or in any other form of consideration, as determined by the Board and contained in the Restricted Stock Unit Award Agreement.</w:t>
      </w:r>
    </w:p>
    <w:p>
      <w:pPr>
        <w:spacing w:after="0" w:line="30" w:lineRule="exact"/>
        <w:rPr>
          <w:rFonts w:ascii="Arial" w:cs="Arial" w:eastAsia="Arial" w:hAnsi="Arial"/>
          <w:sz w:val="17"/>
          <w:szCs w:val="17"/>
          <w:b w:val="1"/>
          <w:bCs w:val="1"/>
          <w:color w:val="auto"/>
        </w:rPr>
      </w:pPr>
    </w:p>
    <w:p>
      <w:pPr>
        <w:ind w:left="-20" w:right="140" w:firstLine="921"/>
        <w:spacing w:after="0" w:line="266" w:lineRule="auto"/>
        <w:tabs>
          <w:tab w:leader="none" w:pos="1198"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Restrictions</w:t>
      </w:r>
      <w:r>
        <w:rPr>
          <w:rFonts w:ascii="Arial" w:cs="Arial" w:eastAsia="Arial" w:hAnsi="Arial"/>
          <w:sz w:val="18"/>
          <w:szCs w:val="18"/>
          <w:color w:val="auto"/>
        </w:rPr>
        <w:t>. At the time of the grant of a Restricted Stock Unit Award, the Board, as it deems appropriate,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or conditions that delay the delivery of the shares of Common Stock (or their cash equivalent) subject to a Restricted Stock Unit Award to a time after the vesting of such Restricted Stock Unit Award.</w:t>
      </w:r>
    </w:p>
    <w:p>
      <w:pPr>
        <w:spacing w:after="0" w:line="68" w:lineRule="exact"/>
        <w:rPr>
          <w:rFonts w:ascii="Arial" w:cs="Arial" w:eastAsia="Arial" w:hAnsi="Arial"/>
          <w:sz w:val="18"/>
          <w:szCs w:val="18"/>
          <w:b w:val="1"/>
          <w:bCs w:val="1"/>
          <w:color w:val="auto"/>
        </w:rPr>
      </w:pPr>
    </w:p>
    <w:p>
      <w:pPr>
        <w:ind w:left="-20" w:right="220" w:firstLine="921"/>
        <w:spacing w:after="0" w:line="277" w:lineRule="auto"/>
        <w:tabs>
          <w:tab w:leader="none" w:pos="1148" w:val="left"/>
        </w:tabs>
        <w:numPr>
          <w:ilvl w:val="1"/>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t>Dividend Equivalents</w:t>
      </w:r>
      <w:r>
        <w:rPr>
          <w:rFonts w:ascii="Arial" w:cs="Arial" w:eastAsia="Arial" w:hAnsi="Arial"/>
          <w:sz w:val="17"/>
          <w:szCs w:val="17"/>
          <w:color w:val="auto"/>
        </w:rPr>
        <w:t>. Dividend equivalents may be credited in respect of shares of Common Stock covered by a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60" w:lineRule="exact"/>
        <w:rPr>
          <w:rFonts w:ascii="Arial" w:cs="Arial" w:eastAsia="Arial" w:hAnsi="Arial"/>
          <w:sz w:val="17"/>
          <w:szCs w:val="17"/>
          <w:b w:val="1"/>
          <w:bCs w:val="1"/>
          <w:color w:val="auto"/>
        </w:rPr>
      </w:pPr>
    </w:p>
    <w:p>
      <w:pPr>
        <w:ind w:left="-20" w:firstLine="921"/>
        <w:spacing w:after="0" w:line="347" w:lineRule="auto"/>
        <w:tabs>
          <w:tab w:leader="none" w:pos="1198" w:val="left"/>
        </w:tabs>
        <w:numPr>
          <w:ilvl w:val="1"/>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Participant’s Continuous Service</w:t>
      </w:r>
      <w:r>
        <w:rPr>
          <w:rFonts w:ascii="Arial" w:cs="Arial" w:eastAsia="Arial" w:hAnsi="Arial"/>
          <w:sz w:val="16"/>
          <w:szCs w:val="16"/>
          <w:color w:val="auto"/>
        </w:rPr>
        <w:t>. Except as otherwise provided in the applicable Restricted Stock Unit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such portion of the Restricted Stock Unit Award that has not vested will be forfeited upon the Participant’s termination of Continuous Service.</w:t>
      </w:r>
    </w:p>
    <w:p>
      <w:pPr>
        <w:spacing w:after="0" w:line="8" w:lineRule="exact"/>
        <w:rPr>
          <w:rFonts w:ascii="Arial" w:cs="Arial" w:eastAsia="Arial" w:hAnsi="Arial"/>
          <w:sz w:val="16"/>
          <w:szCs w:val="16"/>
          <w:b w:val="1"/>
          <w:bCs w:val="1"/>
          <w:color w:val="auto"/>
        </w:rPr>
      </w:pPr>
    </w:p>
    <w:p>
      <w:pPr>
        <w:ind w:left="-20" w:right="60" w:firstLine="921"/>
        <w:spacing w:after="0" w:line="256" w:lineRule="auto"/>
        <w:tabs>
          <w:tab w:leader="none" w:pos="1248"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w:t>
      </w:r>
      <w:r>
        <w:rPr>
          <w:rFonts w:ascii="Arial" w:cs="Arial" w:eastAsia="Arial" w:hAnsi="Arial"/>
          <w:sz w:val="18"/>
          <w:szCs w:val="18"/>
          <w:color w:val="auto"/>
        </w:rPr>
        <w:t>. Notwithstanding anything to the contrary set forth herein, any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that is not exempt from the requirements of Section 409A of the Code shall contain such provisions so that such Restricted Stock Unit Award will comply with the requirements of Section 409A of the Code. Such restrictions, if any, shall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0" w:right="259" w:bottom="1440" w:gutter="0" w:footer="0" w:header="0"/>
        </w:sectPr>
      </w:pPr>
    </w:p>
    <w:bookmarkStart w:id="274" w:name="page275"/>
    <w:bookmarkEnd w:id="274"/>
    <w:p>
      <w:pPr>
        <w:ind w:left="-8" w:firstLine="464"/>
        <w:spacing w:after="0" w:line="274" w:lineRule="auto"/>
        <w:tabs>
          <w:tab w:leader="none" w:pos="693" w:val="left"/>
        </w:tabs>
        <w:numPr>
          <w:ilvl w:val="1"/>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Stock Awards</w:t>
      </w:r>
      <w:r>
        <w:rPr>
          <w:rFonts w:ascii="Arial" w:cs="Arial" w:eastAsia="Arial" w:hAnsi="Arial"/>
          <w:sz w:val="17"/>
          <w:szCs w:val="17"/>
          <w:color w:val="auto"/>
        </w:rPr>
        <w:t>. Other forms of Stock Awards valued in whole or in part by reference to, or otherwise based on, Common Stock,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appreciation in value thereof (e.g., options or stock rights with an exercise price or strike price less than one hundred percent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79" w:lineRule="exact"/>
        <w:rPr>
          <w:rFonts w:ascii="Arial" w:cs="Arial" w:eastAsia="Arial" w:hAnsi="Arial"/>
          <w:sz w:val="17"/>
          <w:szCs w:val="17"/>
          <w:b w:val="1"/>
          <w:bCs w:val="1"/>
          <w:color w:val="auto"/>
        </w:rPr>
      </w:pPr>
    </w:p>
    <w:p>
      <w:pPr>
        <w:ind w:left="452" w:hanging="452"/>
        <w:spacing w:after="0"/>
        <w:tabs>
          <w:tab w:leader="none" w:pos="452"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 w:right="200" w:firstLine="464"/>
        <w:spacing w:after="0" w:line="282" w:lineRule="auto"/>
        <w:tabs>
          <w:tab w:leader="none" w:pos="703"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The Company will keep available at all times the number of shares of Common Stock reasonably required to satisfy then-outstanding Stock Awards.</w:t>
      </w:r>
    </w:p>
    <w:p>
      <w:pPr>
        <w:spacing w:after="0" w:line="53" w:lineRule="exact"/>
        <w:rPr>
          <w:rFonts w:ascii="Arial" w:cs="Arial" w:eastAsia="Arial" w:hAnsi="Arial"/>
          <w:sz w:val="18"/>
          <w:szCs w:val="18"/>
          <w:b w:val="1"/>
          <w:bCs w:val="1"/>
          <w:color w:val="auto"/>
        </w:rPr>
      </w:pPr>
    </w:p>
    <w:p>
      <w:pPr>
        <w:ind w:left="-8" w:right="40" w:firstLine="464"/>
        <w:spacing w:after="0" w:line="272" w:lineRule="auto"/>
        <w:tabs>
          <w:tab w:leader="none" w:pos="713" w:val="left"/>
        </w:tabs>
        <w:numPr>
          <w:ilvl w:val="1"/>
          <w:numId w:val="215"/>
        </w:numPr>
        <w:rPr>
          <w:rFonts w:ascii="Arial" w:cs="Arial" w:eastAsia="Arial" w:hAnsi="Arial"/>
          <w:sz w:val="17"/>
          <w:szCs w:val="17"/>
          <w:b w:val="1"/>
          <w:bCs w:val="1"/>
          <w:color w:val="auto"/>
        </w:rPr>
      </w:pPr>
      <w:r>
        <w:rPr>
          <w:rFonts w:ascii="Arial" w:cs="Arial" w:eastAsia="Arial" w:hAnsi="Arial"/>
          <w:sz w:val="17"/>
          <w:szCs w:val="17"/>
          <w:b w:val="1"/>
          <w:bCs w:val="1"/>
          <w:color w:val="auto"/>
        </w:rPr>
        <w:t>Securities Law Compliance</w:t>
      </w:r>
      <w:r>
        <w:rPr>
          <w:rFonts w:ascii="Arial" w:cs="Arial" w:eastAsia="Arial" w:hAnsi="Arial"/>
          <w:sz w:val="17"/>
          <w:szCs w:val="17"/>
          <w:color w:val="auto"/>
        </w:rPr>
        <w:t>. The Company will seek to obtain from each regulatory commission or agency having jurisdiction over the Plan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authority as may be required to grant Stock Awards and to issue and sell shares of Common Stock upon exercise of the Stock Awards;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64" w:lineRule="exact"/>
        <w:rPr>
          <w:rFonts w:ascii="Arial" w:cs="Arial" w:eastAsia="Arial" w:hAnsi="Arial"/>
          <w:sz w:val="17"/>
          <w:szCs w:val="17"/>
          <w:b w:val="1"/>
          <w:bCs w:val="1"/>
          <w:color w:val="auto"/>
        </w:rPr>
      </w:pPr>
    </w:p>
    <w:p>
      <w:pPr>
        <w:jc w:val="both"/>
        <w:ind w:left="-8" w:right="160" w:firstLine="464"/>
        <w:spacing w:after="0" w:line="261" w:lineRule="auto"/>
        <w:tabs>
          <w:tab w:leader="none" w:pos="693"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No Obligation to Notify or Minimize Taxes</w:t>
      </w:r>
      <w:r>
        <w:rPr>
          <w:rFonts w:ascii="Arial" w:cs="Arial" w:eastAsia="Arial" w:hAnsi="Arial"/>
          <w:sz w:val="18"/>
          <w:szCs w:val="18"/>
          <w:color w:val="auto"/>
        </w:rPr>
        <w:t>. The Company will have no duty or obligation to any Participant to advise such holder as to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or manner of exercising such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85" w:lineRule="exact"/>
        <w:rPr>
          <w:rFonts w:ascii="Arial" w:cs="Arial" w:eastAsia="Arial" w:hAnsi="Arial"/>
          <w:sz w:val="18"/>
          <w:szCs w:val="18"/>
          <w:b w:val="1"/>
          <w:bCs w:val="1"/>
          <w:color w:val="auto"/>
        </w:rPr>
      </w:pPr>
    </w:p>
    <w:p>
      <w:pPr>
        <w:ind w:left="452" w:hanging="452"/>
        <w:spacing w:after="0"/>
        <w:tabs>
          <w:tab w:leader="none" w:pos="452"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 w:right="480" w:firstLine="464"/>
        <w:spacing w:after="0" w:line="282" w:lineRule="auto"/>
        <w:tabs>
          <w:tab w:leader="none" w:pos="703"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Sales of Common Stock</w:t>
      </w:r>
      <w:r>
        <w:rPr>
          <w:rFonts w:ascii="Arial" w:cs="Arial" w:eastAsia="Arial" w:hAnsi="Arial"/>
          <w:sz w:val="18"/>
          <w:szCs w:val="18"/>
          <w:color w:val="auto"/>
        </w:rPr>
        <w:t>. Proceeds from the sale of shares of Common Stock pursuant to Stock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53" w:lineRule="exact"/>
        <w:rPr>
          <w:rFonts w:ascii="Arial" w:cs="Arial" w:eastAsia="Arial" w:hAnsi="Arial"/>
          <w:sz w:val="18"/>
          <w:szCs w:val="18"/>
          <w:b w:val="1"/>
          <w:bCs w:val="1"/>
          <w:color w:val="auto"/>
        </w:rPr>
      </w:pPr>
    </w:p>
    <w:p>
      <w:pPr>
        <w:ind w:left="-8" w:right="80" w:firstLine="464"/>
        <w:spacing w:after="0" w:line="295" w:lineRule="auto"/>
        <w:tabs>
          <w:tab w:leader="none" w:pos="713" w:val="left"/>
        </w:tabs>
        <w:numPr>
          <w:ilvl w:val="1"/>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Action Constituting Grant of Stock Awards</w:t>
      </w:r>
      <w:r>
        <w:rPr>
          <w:rFonts w:ascii="Arial" w:cs="Arial" w:eastAsia="Arial" w:hAnsi="Arial"/>
          <w:sz w:val="16"/>
          <w:szCs w:val="16"/>
          <w:color w:val="auto"/>
        </w:rPr>
        <w:t>. Corporate action constituting a grant by the Company of a Stock Award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Stock Award Agreement as a result of a clerical error in the papering of the Stock Award Agreement, the corporate records will control and the Participant will have no legally binding right to the incorrect term in the Stock Award Agreement.</w:t>
      </w:r>
    </w:p>
    <w:p>
      <w:pPr>
        <w:spacing w:after="0" w:line="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70" w:right="239" w:bottom="1440" w:gutter="0" w:footer="0" w:header="0"/>
        </w:sectPr>
      </w:pPr>
    </w:p>
    <w:bookmarkStart w:id="275" w:name="page276"/>
    <w:bookmarkEnd w:id="275"/>
    <w:p>
      <w:pPr>
        <w:jc w:val="both"/>
        <w:ind w:left="-8" w:right="60" w:firstLine="464"/>
        <w:spacing w:after="0" w:line="261" w:lineRule="auto"/>
        <w:tabs>
          <w:tab w:leader="none" w:pos="693" w:val="left"/>
        </w:tabs>
        <w:numPr>
          <w:ilvl w:val="1"/>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Rights</w:t>
      </w:r>
      <w:r>
        <w:rPr>
          <w:rFonts w:ascii="Arial" w:cs="Arial" w:eastAsia="Arial" w:hAnsi="Arial"/>
          <w:sz w:val="18"/>
          <w:szCs w:val="18"/>
          <w:color w:val="auto"/>
        </w:rPr>
        <w:t>. No Participant will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a Stock Award unless and until (i) such Participant has satisfied all requirements for exercise of, or the issuance of shares of Common Stock under, the Stock Award pursuant to its terms, and (ii) the issuance of the Common Stock subject to the Stock Award has been entered into the books and records of the Company.</w:t>
      </w:r>
    </w:p>
    <w:p>
      <w:pPr>
        <w:spacing w:after="0" w:line="71" w:lineRule="exact"/>
        <w:rPr>
          <w:rFonts w:ascii="Arial" w:cs="Arial" w:eastAsia="Arial" w:hAnsi="Arial"/>
          <w:sz w:val="18"/>
          <w:szCs w:val="18"/>
          <w:b w:val="1"/>
          <w:bCs w:val="1"/>
          <w:color w:val="auto"/>
        </w:rPr>
      </w:pPr>
    </w:p>
    <w:p>
      <w:pPr>
        <w:ind w:left="-8" w:right="120" w:firstLine="464"/>
        <w:spacing w:after="0" w:line="274" w:lineRule="auto"/>
        <w:tabs>
          <w:tab w:leader="none" w:pos="713" w:val="left"/>
        </w:tabs>
        <w:numPr>
          <w:ilvl w:val="1"/>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No Employment or Other Service Rights</w:t>
      </w:r>
      <w:r>
        <w:rPr>
          <w:rFonts w:ascii="Arial" w:cs="Arial" w:eastAsia="Arial" w:hAnsi="Arial"/>
          <w:sz w:val="17"/>
          <w:szCs w:val="17"/>
          <w:color w:val="auto"/>
        </w:rPr>
        <w:t>. Nothing in the Plan, any Stock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65" w:lineRule="exact"/>
        <w:rPr>
          <w:rFonts w:ascii="Arial" w:cs="Arial" w:eastAsia="Arial" w:hAnsi="Arial"/>
          <w:sz w:val="17"/>
          <w:szCs w:val="17"/>
          <w:b w:val="1"/>
          <w:bCs w:val="1"/>
          <w:color w:val="auto"/>
        </w:rPr>
      </w:pPr>
    </w:p>
    <w:p>
      <w:pPr>
        <w:ind w:left="-8" w:right="40" w:firstLine="464"/>
        <w:spacing w:after="0" w:line="255" w:lineRule="auto"/>
        <w:tabs>
          <w:tab w:leader="none" w:pos="693" w:val="left"/>
        </w:tabs>
        <w:numPr>
          <w:ilvl w:val="1"/>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Time Commitment</w:t>
      </w:r>
      <w:r>
        <w:rPr>
          <w:rFonts w:ascii="Arial" w:cs="Arial" w:eastAsia="Arial" w:hAnsi="Arial"/>
          <w:sz w:val="18"/>
          <w:szCs w:val="18"/>
          <w:color w:val="auto"/>
        </w:rPr>
        <w:t>. In the event a Participant’s regular level of time commitment in the performance of his or her services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any Affiliates is reduced (for example, and without limitation, if the Participant is an Employee of the Company and the Employee has a change in status from a full-time Employee to a part-time Employee) after the date of grant of any Stock Award to the Participant, the Board has the right in its sole discretion to (x) make a corresponding reduction in the number of shares subject to any portion of such 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spacing w:after="0" w:line="81" w:lineRule="exact"/>
        <w:rPr>
          <w:rFonts w:ascii="Arial" w:cs="Arial" w:eastAsia="Arial" w:hAnsi="Arial"/>
          <w:sz w:val="18"/>
          <w:szCs w:val="18"/>
          <w:b w:val="1"/>
          <w:bCs w:val="1"/>
          <w:color w:val="auto"/>
        </w:rPr>
      </w:pPr>
    </w:p>
    <w:p>
      <w:pPr>
        <w:ind w:left="-8" w:right="40" w:firstLine="464"/>
        <w:spacing w:after="0" w:line="298" w:lineRule="auto"/>
        <w:tabs>
          <w:tab w:leader="none" w:pos="673" w:val="left"/>
        </w:tabs>
        <w:numPr>
          <w:ilvl w:val="1"/>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Stock Option Limitations</w:t>
      </w:r>
      <w:r>
        <w:rPr>
          <w:rFonts w:ascii="Arial" w:cs="Arial" w:eastAsia="Arial" w:hAnsi="Arial"/>
          <w:sz w:val="16"/>
          <w:szCs w:val="16"/>
          <w:color w:val="auto"/>
        </w:rPr>
        <w:t>. To the extent that the aggregate Fair Market Value (determined at the time of grant) of Common Stock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which Incentive Stock Options are exercisable for the first time by any Optionholder during any calendar year (under all plans of the Company and any Affiliates) exceeds one hundred thousand dollars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46" w:lineRule="exact"/>
        <w:rPr>
          <w:rFonts w:ascii="Arial" w:cs="Arial" w:eastAsia="Arial" w:hAnsi="Arial"/>
          <w:sz w:val="16"/>
          <w:szCs w:val="16"/>
          <w:b w:val="1"/>
          <w:bCs w:val="1"/>
          <w:color w:val="auto"/>
        </w:rPr>
      </w:pPr>
    </w:p>
    <w:p>
      <w:pPr>
        <w:ind w:left="712" w:hanging="256"/>
        <w:spacing w:after="0"/>
        <w:tabs>
          <w:tab w:leader="none" w:pos="712" w:val="left"/>
        </w:tabs>
        <w:numPr>
          <w:ilvl w:val="1"/>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 Assurances</w:t>
      </w:r>
      <w:r>
        <w:rPr>
          <w:rFonts w:ascii="Arial" w:cs="Arial" w:eastAsia="Arial" w:hAnsi="Arial"/>
          <w:sz w:val="16"/>
          <w:szCs w:val="16"/>
          <w:color w:val="auto"/>
        </w:rPr>
        <w:t>. The Company may require a Participant, as a condition of exercising or acquiring Common Stock under any Stock Award,</w:t>
      </w:r>
    </w:p>
    <w:p>
      <w:pPr>
        <w:spacing w:after="0" w:line="50" w:lineRule="exact"/>
        <w:rPr>
          <w:rFonts w:ascii="Arial" w:cs="Arial" w:eastAsia="Arial" w:hAnsi="Arial"/>
          <w:sz w:val="16"/>
          <w:szCs w:val="16"/>
          <w:b w:val="1"/>
          <w:bCs w:val="1"/>
          <w:color w:val="auto"/>
        </w:rPr>
      </w:pPr>
    </w:p>
    <w:p>
      <w:pPr>
        <w:ind w:left="-8" w:right="20" w:firstLine="8"/>
        <w:spacing w:after="0" w:line="286" w:lineRule="auto"/>
        <w:tabs>
          <w:tab w:leader="none" w:pos="207"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0" w:right="259" w:bottom="1440" w:gutter="0" w:footer="0" w:header="0"/>
        </w:sectPr>
      </w:pPr>
    </w:p>
    <w:bookmarkStart w:id="276" w:name="page277"/>
    <w:bookmarkEnd w:id="276"/>
    <w:p>
      <w:pPr>
        <w:ind w:left="-80" w:firstLine="464"/>
        <w:spacing w:after="0" w:line="273" w:lineRule="auto"/>
        <w:tabs>
          <w:tab w:leader="none" w:pos="641"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 Obligations</w:t>
      </w:r>
      <w:r>
        <w:rPr>
          <w:rFonts w:ascii="Arial" w:cs="Arial" w:eastAsia="Arial" w:hAnsi="Arial"/>
          <w:sz w:val="17"/>
          <w:szCs w:val="17"/>
          <w:color w:val="auto"/>
        </w:rPr>
        <w:t>. Unless prohibited by the terms of a Stock Award Agreement, the Company may, in its sole discretion, satisfy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spacing w:after="0" w:line="64" w:lineRule="exact"/>
        <w:rPr>
          <w:rFonts w:ascii="Arial" w:cs="Arial" w:eastAsia="Arial" w:hAnsi="Arial"/>
          <w:sz w:val="17"/>
          <w:szCs w:val="17"/>
          <w:b w:val="1"/>
          <w:bCs w:val="1"/>
          <w:color w:val="auto"/>
        </w:rPr>
      </w:pPr>
    </w:p>
    <w:p>
      <w:pPr>
        <w:ind w:left="-80" w:right="120" w:firstLine="464"/>
        <w:spacing w:after="0" w:line="347" w:lineRule="auto"/>
        <w:tabs>
          <w:tab w:leader="none" w:pos="591"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Electronic Delivery</w:t>
      </w:r>
      <w:r>
        <w:rPr>
          <w:rFonts w:ascii="Arial" w:cs="Arial" w:eastAsia="Arial" w:hAnsi="Arial"/>
          <w:sz w:val="16"/>
          <w:szCs w:val="16"/>
          <w:color w:val="auto"/>
        </w:rPr>
        <w:t>. Any reference herein to a “written” agreement or document will include any agreement or document delivered electronically</w:t>
      </w:r>
      <w:r>
        <w:rPr>
          <w:rFonts w:ascii="Arial" w:cs="Arial" w:eastAsia="Arial" w:hAnsi="Arial"/>
          <w:sz w:val="16"/>
          <w:szCs w:val="16"/>
          <w:b w:val="1"/>
          <w:bCs w:val="1"/>
          <w:color w:val="auto"/>
        </w:rPr>
        <w:t xml:space="preserve"> </w:t>
      </w:r>
      <w:r>
        <w:rPr>
          <w:rFonts w:ascii="Arial" w:cs="Arial" w:eastAsia="Arial" w:hAnsi="Arial"/>
          <w:sz w:val="16"/>
          <w:szCs w:val="16"/>
          <w:color w:val="auto"/>
        </w:rPr>
        <w:t>or posted on the Company’s intranet (or other shared electronic medium controlled by the Company to which the Participant has access).</w:t>
      </w:r>
    </w:p>
    <w:p>
      <w:pPr>
        <w:spacing w:after="0" w:line="8" w:lineRule="exact"/>
        <w:rPr>
          <w:rFonts w:ascii="Arial" w:cs="Arial" w:eastAsia="Arial" w:hAnsi="Arial"/>
          <w:sz w:val="16"/>
          <w:szCs w:val="16"/>
          <w:b w:val="1"/>
          <w:bCs w:val="1"/>
          <w:color w:val="auto"/>
        </w:rPr>
      </w:pPr>
    </w:p>
    <w:p>
      <w:pPr>
        <w:ind w:left="-80" w:firstLine="464"/>
        <w:spacing w:after="0" w:line="273" w:lineRule="auto"/>
        <w:tabs>
          <w:tab w:leader="none" w:pos="601"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Deferrals</w:t>
      </w:r>
      <w:r>
        <w:rPr>
          <w:rFonts w:ascii="Arial" w:cs="Arial" w:eastAsia="Arial" w:hAnsi="Arial"/>
          <w:sz w:val="17"/>
          <w:szCs w:val="17"/>
          <w:color w:val="auto"/>
        </w:rPr>
        <w:t>. To the extent permitted by applicable law, the Board, in its sole discretion, may determine that the delivery of Common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64" w:lineRule="exact"/>
        <w:rPr>
          <w:rFonts w:ascii="Arial" w:cs="Arial" w:eastAsia="Arial" w:hAnsi="Arial"/>
          <w:sz w:val="17"/>
          <w:szCs w:val="17"/>
          <w:b w:val="1"/>
          <w:bCs w:val="1"/>
          <w:color w:val="auto"/>
        </w:rPr>
      </w:pPr>
    </w:p>
    <w:p>
      <w:pPr>
        <w:ind w:left="-80" w:firstLine="464"/>
        <w:spacing w:after="0" w:line="261" w:lineRule="auto"/>
        <w:tabs>
          <w:tab w:leader="none" w:pos="641"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w:t>
      </w:r>
      <w:r>
        <w:rPr>
          <w:rFonts w:ascii="Arial" w:cs="Arial" w:eastAsia="Arial" w:hAnsi="Arial"/>
          <w:sz w:val="18"/>
          <w:szCs w:val="18"/>
          <w:color w:val="auto"/>
        </w:rPr>
        <w:t>. To the extent that the Board determines that any Stock Award granted hereunder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Code, the Stock Award Agreement evidencing such Stock Award shall incorporate the terms and conditions necessary to avoid the consequences specified in Section 409A(a)(1) of the Code. To the extent applicable, the Plan and Stock Award Agreements shall be interpreted in accordance with Section 409A of the Code.</w:t>
      </w:r>
    </w:p>
    <w:p>
      <w:pPr>
        <w:spacing w:after="0" w:line="71" w:lineRule="exact"/>
        <w:rPr>
          <w:rFonts w:ascii="Arial" w:cs="Arial" w:eastAsia="Arial" w:hAnsi="Arial"/>
          <w:sz w:val="18"/>
          <w:szCs w:val="18"/>
          <w:b w:val="1"/>
          <w:bCs w:val="1"/>
          <w:color w:val="auto"/>
        </w:rPr>
      </w:pPr>
    </w:p>
    <w:p>
      <w:pPr>
        <w:ind w:left="-80" w:right="20" w:firstLine="464"/>
        <w:spacing w:after="0" w:line="288" w:lineRule="auto"/>
        <w:tabs>
          <w:tab w:leader="none" w:pos="591"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Exemption Provided by Rule 12h-1(f)</w:t>
      </w:r>
      <w:r>
        <w:rPr>
          <w:rFonts w:ascii="Arial" w:cs="Arial" w:eastAsia="Arial" w:hAnsi="Arial"/>
          <w:sz w:val="16"/>
          <w:szCs w:val="16"/>
          <w:color w:val="auto"/>
        </w:rPr>
        <w:t>. If at the end of the Company’s most recently completed fiscal year: (i) the aggregate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number of persons who hold outstanding compensatory employee stock options to purchase shares of Common Stock granted pursuant to the Plan or otherwise (such persons, “</w:t>
      </w:r>
      <w:r>
        <w:rPr>
          <w:rFonts w:ascii="Arial" w:cs="Arial" w:eastAsia="Arial" w:hAnsi="Arial"/>
          <w:sz w:val="16"/>
          <w:szCs w:val="16"/>
          <w:b w:val="1"/>
          <w:bCs w:val="1"/>
          <w:i w:val="1"/>
          <w:iCs w:val="1"/>
          <w:color w:val="auto"/>
        </w:rPr>
        <w:t>Holders of Options</w:t>
      </w:r>
      <w:r>
        <w:rPr>
          <w:rFonts w:ascii="Arial" w:cs="Arial" w:eastAsia="Arial" w:hAnsi="Arial"/>
          <w:sz w:val="16"/>
          <w:szCs w:val="16"/>
          <w:color w:val="auto"/>
        </w:rPr>
        <w:t>”) equals or exceeds five hundred (500), and (ii) the Company’s assets exceed $10 million, then the following restrictions will apply during any period during which the Company does not have a class of its securities registered under Section 12 of the Exchange Act and is not required to file reports under Section 15(d) of the Exchange Act: (A) the Options and, prior to exercise, the shares of Common Stock to be issued on exercise of the Options may not be transferred until the Company is no longer relying on the exemption provided by Rule 12h-1(f) promulgated under the Exchange Act (“</w:t>
      </w:r>
      <w:r>
        <w:rPr>
          <w:rFonts w:ascii="Arial" w:cs="Arial" w:eastAsia="Arial" w:hAnsi="Arial"/>
          <w:sz w:val="16"/>
          <w:szCs w:val="16"/>
          <w:b w:val="1"/>
          <w:bCs w:val="1"/>
          <w:i w:val="1"/>
          <w:iCs w:val="1"/>
          <w:color w:val="auto"/>
        </w:rPr>
        <w:t>Rule 12h-1(f)</w:t>
      </w:r>
      <w:r>
        <w:rPr>
          <w:rFonts w:ascii="Arial" w:cs="Arial" w:eastAsia="Arial" w:hAnsi="Arial"/>
          <w:sz w:val="16"/>
          <w:szCs w:val="16"/>
          <w:color w:val="auto"/>
        </w:rPr>
        <w:t>”), except: (1) as permitted by Rule 701(c) promulgated under the Securities Act, (2) to a guardian upon the disability of the Holder of Options, or (3) to an executor upon the death of the Holder of Options (collectively, the “</w:t>
      </w:r>
      <w:r>
        <w:rPr>
          <w:rFonts w:ascii="Arial" w:cs="Arial" w:eastAsia="Arial" w:hAnsi="Arial"/>
          <w:sz w:val="16"/>
          <w:szCs w:val="16"/>
          <w:b w:val="1"/>
          <w:bCs w:val="1"/>
          <w:i w:val="1"/>
          <w:iCs w:val="1"/>
          <w:color w:val="auto"/>
        </w:rPr>
        <w:t>Permitted Transferees</w:t>
      </w:r>
      <w:r>
        <w:rPr>
          <w:rFonts w:ascii="Arial" w:cs="Arial" w:eastAsia="Arial" w:hAnsi="Arial"/>
          <w:sz w:val="16"/>
          <w:szCs w:val="16"/>
          <w:color w:val="auto"/>
        </w:rPr>
        <w:t>”); provided, however, the following transfers are permitted: (i) transfers by Holders of Options to the Company, and (ii) transfers in connection with a change of control or other acquisition involving the Company, if following such transaction, the Options no longer remain outstanding and the Company is no longer relying on the exemption provided by Rule 12h-1(f); provided further, that any Permitted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320" w:top="270" w:right="319" w:bottom="1440" w:gutter="0" w:footer="0" w:header="0"/>
        </w:sectPr>
      </w:pPr>
    </w:p>
    <w:bookmarkStart w:id="277" w:name="page278"/>
    <w:bookmarkEnd w:id="27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Transferees may not further transfer the Options; (B) except as otherwise provided in (A) above, the Options and shares of Common Stock issuable on exercise of the Options are restricted as to any pledge, hypothecation, or other transfer, including any short position, any “put equivalent position” as defined by Rule 16a-1(h) promulgated under the Exchange Act, or any “call equivalent position” as defined by Rule 16a-1(b) promulgated under the Exchange Act by Holders of Options prior to exercise of an Option until the Company is no longer relying on the exemption provided by Rule 12h-1(f); and (C) at any time that the Company is relying on the exemption provided by Rule 12h-1(f), the Company will deliver to Holders of Options (whether by physical or electronic delivery or written notice of the availability of the information on an internet site) the information required by Rule 701(e)(3), (4), and (5) promulgated under the Securities Act every six (6) months, including financial statements that are not more than one hundred eighty (180) days old; provided, however, that the Company may condition the delivery of such information upon the Holder of Options’ agreement to maintain its confidentiality.</w:t>
      </w:r>
    </w:p>
    <w:p>
      <w:pPr>
        <w:spacing w:after="0" w:line="54" w:lineRule="exact"/>
        <w:rPr>
          <w:sz w:val="20"/>
          <w:szCs w:val="20"/>
          <w:color w:val="auto"/>
        </w:rPr>
      </w:pPr>
    </w:p>
    <w:p>
      <w:pPr>
        <w:ind w:right="40" w:firstLine="464"/>
        <w:spacing w:after="0" w:line="256" w:lineRule="auto"/>
        <w:tabs>
          <w:tab w:leader="none" w:pos="771"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 Limitation</w:t>
      </w:r>
      <w:r>
        <w:rPr>
          <w:rFonts w:ascii="Arial" w:cs="Arial" w:eastAsia="Arial" w:hAnsi="Arial"/>
          <w:sz w:val="18"/>
          <w:szCs w:val="18"/>
          <w:color w:val="auto"/>
        </w:rPr>
        <w:t>. The terms of any repurchase right will be specified in the Stock Award Agreement. The repurchase price for vested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will be the Fair Market Value of the shares of Common Stock on the date of repurchase. The repurchase price for unvested shares of Common Stock will be the lower of (i) the Fair Market Value of the shares of Common Stock on the date of repurchase or (ii) their original purchase price. However, the Company will not exercise its repurchase right until at least six (6)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93" w:lineRule="exact"/>
        <w:rPr>
          <w:rFonts w:ascii="Arial" w:cs="Arial" w:eastAsia="Arial" w:hAnsi="Arial"/>
          <w:sz w:val="18"/>
          <w:szCs w:val="18"/>
          <w:b w:val="1"/>
          <w:bCs w:val="1"/>
          <w:color w:val="auto"/>
        </w:rPr>
      </w:pPr>
    </w:p>
    <w:p>
      <w:pPr>
        <w:ind w:left="460" w:hanging="452"/>
        <w:spacing w:after="0"/>
        <w:tabs>
          <w:tab w:leader="none" w:pos="4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VENTS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40" w:firstLine="464"/>
        <w:spacing w:after="0" w:line="303" w:lineRule="auto"/>
        <w:tabs>
          <w:tab w:leader="none" w:pos="711" w:val="left"/>
        </w:tabs>
        <w:numPr>
          <w:ilvl w:val="1"/>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will appropriately and proportionately adjust: (i) the class(es)</w:t>
      </w:r>
      <w:r>
        <w:rPr>
          <w:rFonts w:ascii="Arial" w:cs="Arial" w:eastAsia="Arial" w:hAnsi="Arial"/>
          <w:sz w:val="16"/>
          <w:szCs w:val="16"/>
          <w:b w:val="1"/>
          <w:bCs w:val="1"/>
          <w:color w:val="auto"/>
        </w:rPr>
        <w:t xml:space="preserve"> </w:t>
      </w:r>
      <w:r>
        <w:rPr>
          <w:rFonts w:ascii="Arial" w:cs="Arial" w:eastAsia="Arial" w:hAnsi="Arial"/>
          <w:sz w:val="16"/>
          <w:szCs w:val="16"/>
          <w:color w:val="auto"/>
        </w:rPr>
        <w:t>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spacing w:after="0" w:line="43" w:lineRule="exact"/>
        <w:rPr>
          <w:rFonts w:ascii="Arial" w:cs="Arial" w:eastAsia="Arial" w:hAnsi="Arial"/>
          <w:sz w:val="16"/>
          <w:szCs w:val="16"/>
          <w:b w:val="1"/>
          <w:bCs w:val="1"/>
          <w:color w:val="auto"/>
        </w:rPr>
      </w:pPr>
    </w:p>
    <w:p>
      <w:pPr>
        <w:ind w:right="20" w:firstLine="464"/>
        <w:spacing w:after="0" w:line="273" w:lineRule="auto"/>
        <w:tabs>
          <w:tab w:leader="none" w:pos="721" w:val="left"/>
        </w:tabs>
        <w:numPr>
          <w:ilvl w:val="1"/>
          <w:numId w:val="220"/>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or Liquidation</w:t>
      </w:r>
      <w:r>
        <w:rPr>
          <w:rFonts w:ascii="Arial" w:cs="Arial" w:eastAsia="Arial" w:hAnsi="Arial"/>
          <w:sz w:val="17"/>
          <w:szCs w:val="17"/>
          <w:color w:val="auto"/>
        </w:rPr>
        <w:t>. Except as otherwise provided in the Stock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64" w:lineRule="exact"/>
        <w:rPr>
          <w:rFonts w:ascii="Arial" w:cs="Arial" w:eastAsia="Arial" w:hAnsi="Arial"/>
          <w:sz w:val="17"/>
          <w:szCs w:val="17"/>
          <w:b w:val="1"/>
          <w:bCs w:val="1"/>
          <w:color w:val="auto"/>
        </w:rPr>
      </w:pPr>
    </w:p>
    <w:p>
      <w:pPr>
        <w:ind w:right="80" w:firstLine="464"/>
        <w:spacing w:after="0" w:line="258" w:lineRule="auto"/>
        <w:tabs>
          <w:tab w:leader="none" w:pos="701"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Transaction</w:t>
      </w:r>
      <w:r>
        <w:rPr>
          <w:rFonts w:ascii="Arial" w:cs="Arial" w:eastAsia="Arial" w:hAnsi="Arial"/>
          <w:sz w:val="18"/>
          <w:szCs w:val="18"/>
          <w:color w:val="auto"/>
        </w:rPr>
        <w:t>. The following provisions will apply to Stock Awards in the event of a Corporate Transaction unless otherwise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instrument evidencing the Stock Award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may take one or more of the following actions with respect to Stock Awards, contingent upon the closing or completion of the Corporate Transaction:</w:t>
      </w:r>
    </w:p>
    <w:p>
      <w:pPr>
        <w:spacing w:after="0" w:line="79" w:lineRule="exact"/>
        <w:rPr>
          <w:rFonts w:ascii="Arial" w:cs="Arial" w:eastAsia="Arial" w:hAnsi="Arial"/>
          <w:sz w:val="18"/>
          <w:szCs w:val="18"/>
          <w:b w:val="1"/>
          <w:bCs w:val="1"/>
          <w:color w:val="auto"/>
        </w:rPr>
      </w:pPr>
    </w:p>
    <w:p>
      <w:pPr>
        <w:ind w:right="40" w:firstLine="921"/>
        <w:spacing w:after="0" w:line="264" w:lineRule="auto"/>
        <w:tabs>
          <w:tab w:leader="none" w:pos="1128" w:val="left"/>
        </w:tabs>
        <w:numPr>
          <w:ilvl w:val="2"/>
          <w:numId w:val="220"/>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78" w:name="page279"/>
    <w:bookmarkEnd w:id="278"/>
    <w:p>
      <w:pPr>
        <w:ind w:right="40" w:firstLine="921"/>
        <w:spacing w:after="0" w:line="277" w:lineRule="auto"/>
        <w:tabs>
          <w:tab w:leader="none" w:pos="1178"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62" w:lineRule="exact"/>
        <w:rPr>
          <w:rFonts w:ascii="Arial" w:cs="Arial" w:eastAsia="Arial" w:hAnsi="Arial"/>
          <w:sz w:val="18"/>
          <w:szCs w:val="18"/>
          <w:b w:val="1"/>
          <w:bCs w:val="1"/>
          <w:color w:val="auto"/>
        </w:rPr>
      </w:pPr>
    </w:p>
    <w:p>
      <w:pPr>
        <w:ind w:right="140" w:firstLine="921"/>
        <w:spacing w:after="0" w:line="297" w:lineRule="auto"/>
        <w:tabs>
          <w:tab w:leader="none" w:pos="1228"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(5) days prior to the effective date of the Corporate Transaction), with such Stock Award terminating if not exercised (if applicable) at or prior to the effective time of the Corporate Transaction; provided, however, that the Board may require Participants to complete and deliver to the Company a notice of exercise before the effective date of a Corporate Transaction, which exercise is contingent upon the effectiveness of such Corporate Transaction;</w:t>
      </w:r>
    </w:p>
    <w:p>
      <w:pPr>
        <w:spacing w:after="0" w:line="50" w:lineRule="exact"/>
        <w:rPr>
          <w:rFonts w:ascii="Arial" w:cs="Arial" w:eastAsia="Arial" w:hAnsi="Arial"/>
          <w:sz w:val="16"/>
          <w:szCs w:val="16"/>
          <w:b w:val="1"/>
          <w:bCs w:val="1"/>
          <w:color w:val="auto"/>
        </w:rPr>
      </w:pPr>
    </w:p>
    <w:p>
      <w:pPr>
        <w:ind w:left="1220" w:hanging="299"/>
        <w:spacing w:after="0"/>
        <w:tabs>
          <w:tab w:leader="none" w:pos="1220"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 Stock Award;</w:t>
      </w:r>
    </w:p>
    <w:p>
      <w:pPr>
        <w:spacing w:after="0" w:line="140" w:lineRule="exact"/>
        <w:rPr>
          <w:rFonts w:ascii="Arial" w:cs="Arial" w:eastAsia="Arial" w:hAnsi="Arial"/>
          <w:sz w:val="16"/>
          <w:szCs w:val="16"/>
          <w:b w:val="1"/>
          <w:bCs w:val="1"/>
          <w:color w:val="auto"/>
        </w:rPr>
      </w:pPr>
    </w:p>
    <w:p>
      <w:pPr>
        <w:ind w:right="60" w:firstLine="921"/>
        <w:spacing w:after="0" w:line="277" w:lineRule="auto"/>
        <w:tabs>
          <w:tab w:leader="none" w:pos="1168"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62" w:lineRule="exact"/>
        <w:rPr>
          <w:rFonts w:ascii="Arial" w:cs="Arial" w:eastAsia="Arial" w:hAnsi="Arial"/>
          <w:sz w:val="18"/>
          <w:szCs w:val="18"/>
          <w:b w:val="1"/>
          <w:bCs w:val="1"/>
          <w:color w:val="auto"/>
        </w:rPr>
      </w:pPr>
    </w:p>
    <w:p>
      <w:pPr>
        <w:ind w:right="60" w:firstLine="921"/>
        <w:spacing w:after="0" w:line="297" w:lineRule="auto"/>
        <w:tabs>
          <w:tab w:leader="none" w:pos="1218"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Corporate Transaction is delayed as a result of escrows, earn outs, holdbacks or any other contingencies.</w:t>
      </w:r>
    </w:p>
    <w:p>
      <w:pPr>
        <w:spacing w:after="0" w:line="5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58" w:lineRule="exact"/>
        <w:rPr>
          <w:sz w:val="20"/>
          <w:szCs w:val="20"/>
          <w:color w:val="auto"/>
        </w:rPr>
      </w:pPr>
    </w:p>
    <w:p>
      <w:pPr>
        <w:jc w:val="both"/>
        <w:ind w:right="260" w:firstLine="464"/>
        <w:spacing w:after="0" w:line="266" w:lineRule="auto"/>
        <w:tabs>
          <w:tab w:leader="none" w:pos="721" w:val="left"/>
        </w:tabs>
        <w:numPr>
          <w:ilvl w:val="1"/>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A Stock Award may be subject to additional acceleration of vesting and exercisability upon or after a Change in Control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81" w:lineRule="exact"/>
        <w:rPr>
          <w:rFonts w:ascii="Arial" w:cs="Arial" w:eastAsia="Arial" w:hAnsi="Arial"/>
          <w:sz w:val="18"/>
          <w:szCs w:val="18"/>
          <w:b w:val="1"/>
          <w:bCs w:val="1"/>
          <w:color w:val="auto"/>
        </w:rPr>
      </w:pPr>
    </w:p>
    <w:p>
      <w:pPr>
        <w:ind w:left="460" w:hanging="452"/>
        <w:spacing w:after="0"/>
        <w:tabs>
          <w:tab w:leader="none" w:pos="4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w:t>
      </w:r>
      <w:r>
        <w:rPr>
          <w:rFonts w:ascii="Arial" w:cs="Arial" w:eastAsia="Arial" w:hAnsi="Arial"/>
          <w:sz w:val="18"/>
          <w:szCs w:val="18"/>
          <w:b w:val="1"/>
          <w:bCs w:val="1"/>
          <w:color w:val="auto"/>
        </w:rPr>
        <w:t>; E</w:t>
      </w:r>
      <w:r>
        <w:rPr>
          <w:rFonts w:ascii="Arial" w:cs="Arial" w:eastAsia="Arial" w:hAnsi="Arial"/>
          <w:sz w:val="15"/>
          <w:szCs w:val="15"/>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firstLine="464"/>
        <w:spacing w:after="0" w:line="289" w:lineRule="auto"/>
        <w:tabs>
          <w:tab w:leader="none" w:pos="711" w:val="left"/>
        </w:tabs>
        <w:numPr>
          <w:ilvl w:val="1"/>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Plan Term</w:t>
      </w:r>
      <w:r>
        <w:rPr>
          <w:rFonts w:ascii="Arial" w:cs="Arial" w:eastAsia="Arial" w:hAnsi="Arial"/>
          <w:sz w:val="17"/>
          <w:szCs w:val="17"/>
          <w:color w:val="auto"/>
        </w:rPr>
        <w:t>. The Board may suspend or terminate the Plan at any time. Unless terminated sooner by the Board, the Plan will automatically terminate</w:t>
      </w:r>
      <w:r>
        <w:rPr>
          <w:rFonts w:ascii="Arial" w:cs="Arial" w:eastAsia="Arial" w:hAnsi="Arial"/>
          <w:sz w:val="17"/>
          <w:szCs w:val="17"/>
          <w:b w:val="1"/>
          <w:bCs w:val="1"/>
          <w:color w:val="auto"/>
        </w:rPr>
        <w:t xml:space="preserve"> </w:t>
      </w:r>
      <w:r>
        <w:rPr>
          <w:rFonts w:ascii="Arial" w:cs="Arial" w:eastAsia="Arial" w:hAnsi="Arial"/>
          <w:sz w:val="17"/>
          <w:szCs w:val="17"/>
          <w:color w:val="auto"/>
        </w:rPr>
        <w:t>on the day before the tenth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79" w:name="page280"/>
    <w:bookmarkEnd w:id="279"/>
    <w:p>
      <w:pPr>
        <w:ind w:right="160" w:firstLine="464"/>
        <w:spacing w:after="0" w:line="282" w:lineRule="auto"/>
        <w:tabs>
          <w:tab w:leader="none" w:pos="721" w:val="left"/>
        </w:tabs>
        <w:numPr>
          <w:ilvl w:val="1"/>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Impairment of Rights</w:t>
      </w:r>
      <w:r>
        <w:rPr>
          <w:rFonts w:ascii="Arial" w:cs="Arial" w:eastAsia="Arial" w:hAnsi="Arial"/>
          <w:sz w:val="18"/>
          <w:szCs w:val="18"/>
          <w:color w:val="auto"/>
        </w:rPr>
        <w:t>. Suspension or termination of the Plan will not impair rights and obligations under any Stock Award granted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in effect except with the written consent of the affected Participant or as otherwise permitted in the Plan.</w:t>
      </w:r>
    </w:p>
    <w:p>
      <w:pPr>
        <w:spacing w:after="0" w:line="67" w:lineRule="exact"/>
        <w:rPr>
          <w:rFonts w:ascii="Arial" w:cs="Arial" w:eastAsia="Arial" w:hAnsi="Arial"/>
          <w:sz w:val="18"/>
          <w:szCs w:val="18"/>
          <w:b w:val="1"/>
          <w:bCs w:val="1"/>
          <w:color w:val="auto"/>
        </w:rPr>
      </w:pPr>
    </w:p>
    <w:p>
      <w:pPr>
        <w:ind w:left="460" w:hanging="452"/>
        <w:spacing w:after="0"/>
        <w:tabs>
          <w:tab w:leader="none" w:pos="4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Plan will become effective on the Effective Date.</w:t>
      </w:r>
    </w:p>
    <w:p>
      <w:pPr>
        <w:spacing w:after="0" w:line="127"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color w:val="auto"/>
        </w:rPr>
        <w: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laws of the State of Delaware will govern all questions concerning the construction, validity and interpretation of this Plan, without regard to that state’s conflict of laws rules.</w:t>
      </w:r>
    </w:p>
    <w:p>
      <w:pPr>
        <w:spacing w:after="0" w:line="72"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r>
        <w:rPr>
          <w:rFonts w:ascii="Arial" w:cs="Arial" w:eastAsia="Arial" w:hAnsi="Arial"/>
          <w:sz w:val="18"/>
          <w:szCs w:val="18"/>
          <w:color w:val="auto"/>
        </w:rPr>
        <w:t>. As used in the Plan, the following definitions will apply to the capitalized terms indicated below:</w:t>
      </w:r>
    </w:p>
    <w:p>
      <w:pPr>
        <w:spacing w:after="0" w:line="121" w:lineRule="exact"/>
        <w:rPr>
          <w:sz w:val="20"/>
          <w:szCs w:val="20"/>
          <w:color w:val="auto"/>
        </w:rPr>
      </w:pPr>
    </w:p>
    <w:p>
      <w:pPr>
        <w:ind w:left="720" w:hanging="256"/>
        <w:spacing w:after="0"/>
        <w:tabs>
          <w:tab w:leader="none" w:pos="720"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at the time of determination, any “parent” or “majority-owned subsidiary” of the Company, as such terms are defined in</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Rule 405. The Board will have the authority to determine the time or times at which “parent” or “majority-owned subsidiary” status is determined within the foregoing definition.</w:t>
      </w:r>
    </w:p>
    <w:p>
      <w:pPr>
        <w:spacing w:after="0" w:line="76" w:lineRule="exact"/>
        <w:rPr>
          <w:sz w:val="20"/>
          <w:szCs w:val="20"/>
          <w:color w:val="auto"/>
        </w:rPr>
      </w:pPr>
    </w:p>
    <w:p>
      <w:pPr>
        <w:ind w:left="720" w:hanging="256"/>
        <w:spacing w:after="0"/>
        <w:tabs>
          <w:tab w:leader="none" w:pos="720"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b w:val="1"/>
          <w:bCs w:val="1"/>
          <w:color w:val="auto"/>
        </w:rPr>
      </w:pPr>
    </w:p>
    <w:p>
      <w:pPr>
        <w:ind w:right="40" w:firstLine="464"/>
        <w:spacing w:after="0" w:line="293" w:lineRule="auto"/>
        <w:tabs>
          <w:tab w:leader="none" w:pos="701" w:val="left"/>
        </w:tabs>
        <w:numPr>
          <w:ilvl w:val="0"/>
          <w:numId w:val="22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56" w:lineRule="exact"/>
        <w:rPr>
          <w:rFonts w:ascii="Arial" w:cs="Arial" w:eastAsia="Arial" w:hAnsi="Arial"/>
          <w:sz w:val="16"/>
          <w:szCs w:val="16"/>
          <w:b w:val="1"/>
          <w:bCs w:val="1"/>
          <w:color w:val="auto"/>
        </w:rPr>
      </w:pPr>
    </w:p>
    <w:p>
      <w:pPr>
        <w:ind w:firstLine="464"/>
        <w:spacing w:after="0" w:line="253" w:lineRule="auto"/>
        <w:tabs>
          <w:tab w:leader="none" w:pos="721"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such Participant for any other purpose.</w:t>
      </w:r>
    </w:p>
    <w:p>
      <w:pPr>
        <w:spacing w:after="0" w:line="86" w:lineRule="exact"/>
        <w:rPr>
          <w:rFonts w:ascii="Arial" w:cs="Arial" w:eastAsia="Arial" w:hAnsi="Arial"/>
          <w:sz w:val="18"/>
          <w:szCs w:val="18"/>
          <w:b w:val="1"/>
          <w:bCs w:val="1"/>
          <w:color w:val="auto"/>
        </w:rPr>
      </w:pPr>
    </w:p>
    <w:p>
      <w:pPr>
        <w:ind w:left="700" w:hanging="236"/>
        <w:spacing w:after="0"/>
        <w:tabs>
          <w:tab w:leader="none" w:pos="700" w:val="left"/>
        </w:tabs>
        <w:numPr>
          <w:ilvl w:val="0"/>
          <w:numId w:val="22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 events:</w:t>
      </w:r>
    </w:p>
    <w:p>
      <w:pPr>
        <w:spacing w:after="0" w:line="140" w:lineRule="exact"/>
        <w:rPr>
          <w:rFonts w:ascii="Arial" w:cs="Arial" w:eastAsia="Arial" w:hAnsi="Arial"/>
          <w:sz w:val="16"/>
          <w:szCs w:val="16"/>
          <w:b w:val="1"/>
          <w:bCs w:val="1"/>
          <w:color w:val="auto"/>
        </w:rPr>
      </w:pPr>
    </w:p>
    <w:p>
      <w:pPr>
        <w:ind w:right="60" w:firstLine="921"/>
        <w:spacing w:after="0" w:line="277" w:lineRule="auto"/>
        <w:tabs>
          <w:tab w:leader="none" w:pos="1128" w:val="left"/>
        </w:tabs>
        <w:numPr>
          <w:ilvl w:val="1"/>
          <w:numId w:val="229"/>
        </w:numPr>
        <w:rPr>
          <w:rFonts w:ascii="Arial" w:cs="Arial" w:eastAsia="Arial" w:hAnsi="Arial"/>
          <w:sz w:val="18"/>
          <w:szCs w:val="18"/>
          <w:b w:val="1"/>
          <w:bCs w:val="1"/>
          <w:color w:val="auto"/>
        </w:rPr>
      </w:pPr>
      <w:r>
        <w:rPr>
          <w:rFonts w:ascii="Arial" w:cs="Arial" w:eastAsia="Arial" w:hAnsi="Arial"/>
          <w:sz w:val="18"/>
          <w:szCs w:val="18"/>
          <w:color w:val="auto"/>
        </w:rPr>
        <w:t>any Exchange Act Person becomes the Owner, directly or indirectly, of securities of the Company representing more than fifty percent (50%) of the combined voting power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0" w:right="279" w:bottom="1440" w:gutter="0" w:footer="0" w:header="0"/>
        </w:sectPr>
      </w:pPr>
    </w:p>
    <w:bookmarkStart w:id="280" w:name="page281"/>
    <w:bookmarkEnd w:id="280"/>
    <w:p>
      <w:pPr>
        <w:ind w:right="2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w:t>
      </w:r>
    </w:p>
    <w:p>
      <w:pPr>
        <w:spacing w:after="0" w:line="2" w:lineRule="exact"/>
        <w:rPr>
          <w:sz w:val="20"/>
          <w:szCs w:val="20"/>
          <w:color w:val="auto"/>
        </w:rPr>
      </w:pPr>
    </w:p>
    <w:p>
      <w:pPr>
        <w:ind w:firstLine="8"/>
        <w:spacing w:after="0" w:line="252" w:lineRule="auto"/>
        <w:tabs>
          <w:tab w:leader="none" w:pos="28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solely because the level of Ownership held by any Exchange Act Person (the “</w:t>
      </w:r>
      <w:r>
        <w:rPr>
          <w:rFonts w:ascii="Arial" w:cs="Arial" w:eastAsia="Arial" w:hAnsi="Arial"/>
          <w:sz w:val="18"/>
          <w:szCs w:val="18"/>
          <w:b w:val="1"/>
          <w:bCs w:val="1"/>
          <w:i w:val="1"/>
          <w:iCs w:val="1"/>
          <w:color w:val="auto"/>
        </w:rPr>
        <w:t>Subject Person</w:t>
      </w:r>
      <w:r>
        <w:rPr>
          <w:rFonts w:ascii="Arial" w:cs="Arial" w:eastAsia="Arial" w:hAnsi="Arial"/>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86" w:lineRule="exact"/>
        <w:rPr>
          <w:rFonts w:ascii="Arial" w:cs="Arial" w:eastAsia="Arial" w:hAnsi="Arial"/>
          <w:sz w:val="18"/>
          <w:szCs w:val="18"/>
          <w:color w:val="auto"/>
        </w:rPr>
      </w:pPr>
    </w:p>
    <w:p>
      <w:pPr>
        <w:ind w:right="40" w:firstLine="921"/>
        <w:spacing w:after="0" w:line="273" w:lineRule="auto"/>
        <w:tabs>
          <w:tab w:leader="none" w:pos="1178" w:val="left"/>
        </w:tabs>
        <w:numPr>
          <w:ilvl w:val="1"/>
          <w:numId w:val="230"/>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70" w:lineRule="exact"/>
        <w:rPr>
          <w:rFonts w:ascii="Arial" w:cs="Arial" w:eastAsia="Arial" w:hAnsi="Arial"/>
          <w:sz w:val="17"/>
          <w:szCs w:val="17"/>
          <w:b w:val="1"/>
          <w:bCs w:val="1"/>
          <w:color w:val="auto"/>
        </w:rPr>
      </w:pPr>
    </w:p>
    <w:p>
      <w:pPr>
        <w:ind w:right="40" w:firstLine="921"/>
        <w:spacing w:after="0" w:line="277" w:lineRule="auto"/>
        <w:tabs>
          <w:tab w:leader="none" w:pos="1228"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t>the stockholders of the Company approve or the Board approves a plan of complete dissolution or liquidation of the Company, or a complete dissolution or liquidation of the Company will otherwise occur, except for a liquidation into a parent corporation;</w:t>
      </w:r>
    </w:p>
    <w:p>
      <w:pPr>
        <w:spacing w:after="0" w:line="62" w:lineRule="exact"/>
        <w:rPr>
          <w:rFonts w:ascii="Arial" w:cs="Arial" w:eastAsia="Arial" w:hAnsi="Arial"/>
          <w:sz w:val="18"/>
          <w:szCs w:val="18"/>
          <w:b w:val="1"/>
          <w:bCs w:val="1"/>
          <w:color w:val="auto"/>
        </w:rPr>
      </w:pPr>
    </w:p>
    <w:p>
      <w:pPr>
        <w:ind w:right="80" w:firstLine="921"/>
        <w:spacing w:after="0" w:line="257" w:lineRule="auto"/>
        <w:tabs>
          <w:tab w:leader="none" w:pos="1218"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80" w:lineRule="exact"/>
        <w:rPr>
          <w:rFonts w:ascii="Arial" w:cs="Arial" w:eastAsia="Arial" w:hAnsi="Arial"/>
          <w:sz w:val="18"/>
          <w:szCs w:val="18"/>
          <w:b w:val="1"/>
          <w:bCs w:val="1"/>
          <w:color w:val="auto"/>
        </w:rPr>
      </w:pPr>
    </w:p>
    <w:p>
      <w:pPr>
        <w:ind w:right="260" w:firstLine="921"/>
        <w:spacing w:after="0" w:line="259" w:lineRule="auto"/>
        <w:tabs>
          <w:tab w:leader="none" w:pos="1168"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Stock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no definition of Change in Control or any analogous term is set forth in such an individual written agreement, the foregoing definition will apply.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81" w:name="page282"/>
    <w:bookmarkEnd w:id="281"/>
    <w:p>
      <w:pPr>
        <w:ind w:left="680" w:hanging="216"/>
        <w:spacing w:after="0"/>
        <w:tabs>
          <w:tab w:leader="none" w:pos="680" w:val="left"/>
        </w:tabs>
        <w:numPr>
          <w:ilvl w:val="1"/>
          <w:numId w:val="23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2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Directors to whom authority has been delegated by the Board in accordance with Section 2(c).</w:t>
      </w:r>
    </w:p>
    <w:p>
      <w:pPr>
        <w:spacing w:after="0" w:line="140" w:lineRule="exact"/>
        <w:rPr>
          <w:rFonts w:ascii="Arial" w:cs="Arial" w:eastAsia="Arial" w:hAnsi="Arial"/>
          <w:sz w:val="16"/>
          <w:szCs w:val="16"/>
          <w:b w:val="1"/>
          <w:bCs w:val="1"/>
          <w:color w:val="auto"/>
        </w:rPr>
      </w:pPr>
    </w:p>
    <w:p>
      <w:pPr>
        <w:ind w:left="720" w:hanging="256"/>
        <w:spacing w:after="0"/>
        <w:tabs>
          <w:tab w:leader="none" w:pos="720" w:val="left"/>
        </w:tabs>
        <w:numPr>
          <w:ilvl w:val="1"/>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17" w:lineRule="exact"/>
        <w:rPr>
          <w:rFonts w:ascii="Arial" w:cs="Arial" w:eastAsia="Arial" w:hAnsi="Arial"/>
          <w:sz w:val="18"/>
          <w:szCs w:val="18"/>
          <w:b w:val="1"/>
          <w:bCs w:val="1"/>
          <w:color w:val="auto"/>
        </w:rPr>
      </w:pPr>
    </w:p>
    <w:p>
      <w:pPr>
        <w:ind w:left="680" w:hanging="216"/>
        <w:spacing w:after="0"/>
        <w:tabs>
          <w:tab w:leader="none" w:pos="680" w:val="left"/>
        </w:tabs>
        <w:numPr>
          <w:ilvl w:val="1"/>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Forty Seven, Inc., a Delaware corporation.</w:t>
      </w:r>
    </w:p>
    <w:p>
      <w:pPr>
        <w:spacing w:after="0" w:line="117" w:lineRule="exact"/>
        <w:rPr>
          <w:rFonts w:ascii="Arial" w:cs="Arial" w:eastAsia="Arial" w:hAnsi="Arial"/>
          <w:sz w:val="18"/>
          <w:szCs w:val="18"/>
          <w:b w:val="1"/>
          <w:bCs w:val="1"/>
          <w:color w:val="auto"/>
        </w:rPr>
      </w:pPr>
    </w:p>
    <w:p>
      <w:pPr>
        <w:ind w:right="180" w:firstLine="464"/>
        <w:spacing w:after="0" w:line="312" w:lineRule="auto"/>
        <w:tabs>
          <w:tab w:leader="none" w:pos="681" w:val="left"/>
        </w:tabs>
        <w:numPr>
          <w:ilvl w:val="1"/>
          <w:numId w:val="2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p>
    <w:p>
      <w:pPr>
        <w:spacing w:after="0" w:line="38" w:lineRule="exact"/>
        <w:rPr>
          <w:rFonts w:ascii="Arial" w:cs="Arial" w:eastAsia="Arial" w:hAnsi="Arial"/>
          <w:sz w:val="16"/>
          <w:szCs w:val="16"/>
          <w:b w:val="1"/>
          <w:bCs w:val="1"/>
          <w:color w:val="auto"/>
        </w:rPr>
      </w:pPr>
    </w:p>
    <w:p>
      <w:pPr>
        <w:ind w:firstLine="464"/>
        <w:spacing w:after="0" w:line="284" w:lineRule="auto"/>
        <w:tabs>
          <w:tab w:leader="none" w:pos="721" w:val="left"/>
        </w:tabs>
        <w:numPr>
          <w:ilvl w:val="1"/>
          <w:numId w:val="2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w:t>
      </w:r>
    </w:p>
    <w:p>
      <w:pPr>
        <w:spacing w:after="0" w:line="1" w:lineRule="exact"/>
        <w:rPr>
          <w:rFonts w:ascii="Arial" w:cs="Arial" w:eastAsia="Arial" w:hAnsi="Arial"/>
          <w:sz w:val="16"/>
          <w:szCs w:val="16"/>
          <w:b w:val="1"/>
          <w:bCs w:val="1"/>
          <w:color w:val="auto"/>
        </w:rPr>
      </w:pPr>
    </w:p>
    <w:p>
      <w:pPr>
        <w:ind w:right="120" w:firstLine="8"/>
        <w:spacing w:after="0" w:line="254" w:lineRule="auto"/>
        <w:tabs>
          <w:tab w:leader="none" w:pos="21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81" w:lineRule="exact"/>
        <w:rPr>
          <w:rFonts w:ascii="Arial" w:cs="Arial" w:eastAsia="Arial" w:hAnsi="Arial"/>
          <w:sz w:val="18"/>
          <w:szCs w:val="18"/>
          <w:color w:val="auto"/>
        </w:rPr>
      </w:pPr>
    </w:p>
    <w:p>
      <w:pPr>
        <w:ind w:left="680" w:hanging="216"/>
        <w:spacing w:after="0"/>
        <w:tabs>
          <w:tab w:leader="none" w:pos="680" w:val="left"/>
        </w:tabs>
        <w:numPr>
          <w:ilvl w:val="1"/>
          <w:numId w:val="2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consummation,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02" w:lineRule="exact"/>
        <w:rPr>
          <w:rFonts w:ascii="Arial" w:cs="Arial" w:eastAsia="Arial" w:hAnsi="Arial"/>
          <w:sz w:val="16"/>
          <w:szCs w:val="16"/>
          <w:b w:val="1"/>
          <w:bCs w:val="1"/>
          <w:color w:val="auto"/>
        </w:rPr>
      </w:pPr>
    </w:p>
    <w:p>
      <w:pPr>
        <w:ind w:right="700" w:firstLine="921"/>
        <w:spacing w:after="0" w:line="277" w:lineRule="auto"/>
        <w:tabs>
          <w:tab w:leader="none" w:pos="1128" w:val="left"/>
        </w:tabs>
        <w:numPr>
          <w:ilvl w:val="2"/>
          <w:numId w:val="232"/>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2"/>
          <w:numId w:val="232"/>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ninety percent (90%) of the outstanding securities of the Company;</w:t>
      </w:r>
    </w:p>
    <w:p>
      <w:pPr>
        <w:spacing w:after="0" w:line="117" w:lineRule="exact"/>
        <w:rPr>
          <w:rFonts w:ascii="Arial" w:cs="Arial" w:eastAsia="Arial" w:hAnsi="Arial"/>
          <w:sz w:val="18"/>
          <w:szCs w:val="18"/>
          <w:b w:val="1"/>
          <w:bCs w:val="1"/>
          <w:color w:val="auto"/>
        </w:rPr>
      </w:pPr>
    </w:p>
    <w:p>
      <w:pPr>
        <w:ind w:left="1240" w:hanging="319"/>
        <w:spacing w:after="0"/>
        <w:tabs>
          <w:tab w:leader="none" w:pos="1240" w:val="left"/>
        </w:tabs>
        <w:numPr>
          <w:ilvl w:val="2"/>
          <w:numId w:val="232"/>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82" w:name="page283"/>
    <w:bookmarkEnd w:id="282"/>
    <w:p>
      <w:pPr>
        <w:ind w:left="-60" w:right="200" w:firstLine="921"/>
        <w:spacing w:after="0" w:line="264" w:lineRule="auto"/>
        <w:tabs>
          <w:tab w:leader="none" w:pos="1158" w:val="left"/>
        </w:tabs>
        <w:numPr>
          <w:ilvl w:val="1"/>
          <w:numId w:val="23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3" w:lineRule="exact"/>
        <w:rPr>
          <w:rFonts w:ascii="Arial" w:cs="Arial" w:eastAsia="Arial" w:hAnsi="Arial"/>
          <w:sz w:val="18"/>
          <w:szCs w:val="18"/>
          <w:b w:val="1"/>
          <w:bCs w:val="1"/>
          <w:color w:val="auto"/>
        </w:rPr>
      </w:pPr>
    </w:p>
    <w:p>
      <w:pPr>
        <w:ind w:left="720" w:hanging="316"/>
        <w:spacing w:after="0"/>
        <w:tabs>
          <w:tab w:leader="none" w:pos="72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ind w:left="-60" w:right="300" w:firstLine="464"/>
        <w:spacing w:after="0" w:line="279" w:lineRule="auto"/>
        <w:tabs>
          <w:tab w:leader="none" w:pos="661" w:val="left"/>
        </w:tabs>
        <w:numPr>
          <w:ilvl w:val="0"/>
          <w:numId w:val="2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63" w:lineRule="exact"/>
        <w:rPr>
          <w:rFonts w:ascii="Arial" w:cs="Arial" w:eastAsia="Arial" w:hAnsi="Arial"/>
          <w:sz w:val="17"/>
          <w:szCs w:val="17"/>
          <w:b w:val="1"/>
          <w:bCs w:val="1"/>
          <w:color w:val="auto"/>
        </w:rPr>
      </w:pPr>
    </w:p>
    <w:p>
      <w:pPr>
        <w:ind w:left="-60" w:right="740" w:firstLine="464"/>
        <w:spacing w:after="0" w:line="277" w:lineRule="auto"/>
        <w:tabs>
          <w:tab w:leader="none" w:pos="651"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earlier of (i) the date that this Plan is first approved by the Company’s stockholders, and (ii) the date this Plan is adopted by the Board.</w:t>
      </w:r>
    </w:p>
    <w:p>
      <w:pPr>
        <w:spacing w:after="0" w:line="62" w:lineRule="exact"/>
        <w:rPr>
          <w:rFonts w:ascii="Arial" w:cs="Arial" w:eastAsia="Arial" w:hAnsi="Arial"/>
          <w:sz w:val="18"/>
          <w:szCs w:val="18"/>
          <w:b w:val="1"/>
          <w:bCs w:val="1"/>
          <w:color w:val="auto"/>
        </w:rPr>
      </w:pPr>
    </w:p>
    <w:p>
      <w:pPr>
        <w:ind w:left="-60" w:right="460" w:firstLine="464"/>
        <w:spacing w:after="0" w:line="277" w:lineRule="auto"/>
        <w:tabs>
          <w:tab w:leader="none" w:pos="661"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62" w:lineRule="exact"/>
        <w:rPr>
          <w:rFonts w:ascii="Arial" w:cs="Arial" w:eastAsia="Arial" w:hAnsi="Arial"/>
          <w:sz w:val="18"/>
          <w:szCs w:val="18"/>
          <w:b w:val="1"/>
          <w:bCs w:val="1"/>
          <w:color w:val="auto"/>
        </w:rPr>
      </w:pPr>
    </w:p>
    <w:p>
      <w:pPr>
        <w:ind w:left="660" w:hanging="256"/>
        <w:spacing w:after="0"/>
        <w:tabs>
          <w:tab w:leader="none" w:pos="66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640" w:hanging="236"/>
        <w:spacing w:after="0"/>
        <w:tabs>
          <w:tab w:leader="none" w:pos="64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117" w:lineRule="exact"/>
        <w:rPr>
          <w:rFonts w:ascii="Arial" w:cs="Arial" w:eastAsia="Arial" w:hAnsi="Arial"/>
          <w:sz w:val="18"/>
          <w:szCs w:val="18"/>
          <w:b w:val="1"/>
          <w:bCs w:val="1"/>
          <w:color w:val="auto"/>
        </w:rPr>
      </w:pPr>
    </w:p>
    <w:p>
      <w:pPr>
        <w:ind w:left="-60" w:right="80" w:firstLine="464"/>
        <w:spacing w:after="0" w:line="291" w:lineRule="auto"/>
        <w:tabs>
          <w:tab w:leader="none" w:pos="631" w:val="left"/>
        </w:tabs>
        <w:numPr>
          <w:ilvl w:val="0"/>
          <w:numId w:val="23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59" w:lineRule="exact"/>
        <w:rPr>
          <w:rFonts w:ascii="Arial" w:cs="Arial" w:eastAsia="Arial" w:hAnsi="Arial"/>
          <w:sz w:val="16"/>
          <w:szCs w:val="16"/>
          <w:b w:val="1"/>
          <w:bCs w:val="1"/>
          <w:color w:val="auto"/>
        </w:rPr>
      </w:pPr>
    </w:p>
    <w:p>
      <w:pPr>
        <w:ind w:left="-60" w:firstLine="464"/>
        <w:spacing w:after="0" w:line="277" w:lineRule="auto"/>
        <w:tabs>
          <w:tab w:leader="none" w:pos="621"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by the Board in compliance with Section 409A of the Code or, in the case of an Incentive Stock Option, in compliance with Section 422 of the Code.</w:t>
      </w:r>
    </w:p>
    <w:p>
      <w:pPr>
        <w:spacing w:after="0" w:line="62" w:lineRule="exact"/>
        <w:rPr>
          <w:rFonts w:ascii="Arial" w:cs="Arial" w:eastAsia="Arial" w:hAnsi="Arial"/>
          <w:sz w:val="18"/>
          <w:szCs w:val="18"/>
          <w:b w:val="1"/>
          <w:bCs w:val="1"/>
          <w:color w:val="auto"/>
        </w:rPr>
      </w:pPr>
    </w:p>
    <w:p>
      <w:pPr>
        <w:ind w:left="-60" w:right="20" w:firstLine="464"/>
        <w:spacing w:after="0" w:line="277" w:lineRule="auto"/>
        <w:tabs>
          <w:tab w:leader="none" w:pos="661"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of the Plan that is intended to be, and that qualifies as, an “incentive stock option” within the meaning of Section 422 of the Code.</w:t>
      </w:r>
    </w:p>
    <w:p>
      <w:pPr>
        <w:spacing w:after="0" w:line="62" w:lineRule="exact"/>
        <w:rPr>
          <w:rFonts w:ascii="Arial" w:cs="Arial" w:eastAsia="Arial" w:hAnsi="Arial"/>
          <w:sz w:val="18"/>
          <w:szCs w:val="18"/>
          <w:b w:val="1"/>
          <w:bCs w:val="1"/>
          <w:color w:val="auto"/>
        </w:rPr>
      </w:pPr>
    </w:p>
    <w:p>
      <w:pPr>
        <w:ind w:left="660" w:hanging="256"/>
        <w:spacing w:after="0"/>
        <w:tabs>
          <w:tab w:leader="none" w:pos="660" w:val="left"/>
        </w:tabs>
        <w:numPr>
          <w:ilvl w:val="0"/>
          <w:numId w:val="2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Nonstatutory Stock Option</w:t>
      </w:r>
      <w:r>
        <w:rPr>
          <w:rFonts w:ascii="Arial" w:cs="Arial" w:eastAsia="Arial" w:hAnsi="Arial"/>
          <w:sz w:val="17"/>
          <w:szCs w:val="17"/>
          <w:color w:val="auto"/>
        </w:rPr>
        <w:t>” means any option granted pursuant to Section 5 of the Plan that does not qualify as an Incentive Stock Option.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300" w:top="274" w:right="299" w:bottom="1440" w:gutter="0" w:footer="0" w:header="0"/>
        </w:sectPr>
      </w:pPr>
    </w:p>
    <w:bookmarkStart w:id="283" w:name="page284"/>
    <w:bookmarkEnd w:id="283"/>
    <w:p>
      <w:pPr>
        <w:ind w:left="760" w:hanging="296"/>
        <w:spacing w:after="0"/>
        <w:tabs>
          <w:tab w:leader="none" w:pos="76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23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 Plan.</w:t>
      </w:r>
    </w:p>
    <w:p>
      <w:pPr>
        <w:spacing w:after="0" w:line="140" w:lineRule="exact"/>
        <w:rPr>
          <w:rFonts w:ascii="Arial" w:cs="Arial" w:eastAsia="Arial" w:hAnsi="Arial"/>
          <w:sz w:val="16"/>
          <w:szCs w:val="16"/>
          <w:b w:val="1"/>
          <w:bCs w:val="1"/>
          <w:color w:val="auto"/>
        </w:rPr>
      </w:pPr>
    </w:p>
    <w:p>
      <w:pPr>
        <w:ind w:right="400" w:firstLine="464"/>
        <w:spacing w:after="0" w:line="277" w:lineRule="auto"/>
        <w:tabs>
          <w:tab w:leader="none" w:pos="711"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62" w:lineRule="exact"/>
        <w:rPr>
          <w:rFonts w:ascii="Arial" w:cs="Arial" w:eastAsia="Arial" w:hAnsi="Arial"/>
          <w:sz w:val="18"/>
          <w:szCs w:val="18"/>
          <w:b w:val="1"/>
          <w:bCs w:val="1"/>
          <w:color w:val="auto"/>
        </w:rPr>
      </w:pPr>
    </w:p>
    <w:p>
      <w:pPr>
        <w:ind w:left="700" w:hanging="236"/>
        <w:spacing w:after="0"/>
        <w:tabs>
          <w:tab w:leader="none" w:pos="700" w:val="left"/>
        </w:tabs>
        <w:numPr>
          <w:ilvl w:val="0"/>
          <w:numId w:val="23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Optionholder</w:t>
      </w:r>
      <w:r>
        <w:rPr>
          <w:rFonts w:ascii="Arial" w:cs="Arial" w:eastAsia="Arial" w:hAnsi="Arial"/>
          <w:sz w:val="16"/>
          <w:szCs w:val="16"/>
          <w:color w:val="auto"/>
        </w:rPr>
        <w:t>” means a person to whom an Option is granted pursuant to the Plan or, if applicable, such other person who holds an outstanding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103" w:lineRule="exact"/>
        <w:rPr>
          <w:sz w:val="20"/>
          <w:szCs w:val="20"/>
          <w:color w:val="auto"/>
        </w:rPr>
      </w:pPr>
    </w:p>
    <w:p>
      <w:pPr>
        <w:ind w:right="340" w:firstLine="464"/>
        <w:spacing w:after="0" w:line="277" w:lineRule="auto"/>
        <w:tabs>
          <w:tab w:leader="none" w:pos="801"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 terms and conditions of Section 6(c).</w:t>
      </w:r>
    </w:p>
    <w:p>
      <w:pPr>
        <w:spacing w:after="0" w:line="62" w:lineRule="exact"/>
        <w:rPr>
          <w:rFonts w:ascii="Arial" w:cs="Arial" w:eastAsia="Arial" w:hAnsi="Arial"/>
          <w:sz w:val="18"/>
          <w:szCs w:val="18"/>
          <w:b w:val="1"/>
          <w:bCs w:val="1"/>
          <w:color w:val="auto"/>
        </w:rPr>
      </w:pPr>
    </w:p>
    <w:p>
      <w:pPr>
        <w:ind w:right="200" w:firstLine="464"/>
        <w:spacing w:after="0" w:line="308" w:lineRule="auto"/>
        <w:tabs>
          <w:tab w:leader="none" w:pos="822" w:val="left"/>
        </w:tabs>
        <w:numPr>
          <w:ilvl w:val="0"/>
          <w:numId w:val="23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Stock Award Agreement</w:t>
      </w:r>
      <w:r>
        <w:rPr>
          <w:rFonts w:ascii="Arial" w:cs="Arial" w:eastAsia="Arial" w:hAnsi="Arial"/>
          <w:sz w:val="17"/>
          <w:szCs w:val="17"/>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38" w:lineRule="exact"/>
        <w:rPr>
          <w:rFonts w:ascii="Arial" w:cs="Arial" w:eastAsia="Arial" w:hAnsi="Arial"/>
          <w:sz w:val="17"/>
          <w:szCs w:val="17"/>
          <w:b w:val="1"/>
          <w:bCs w:val="1"/>
          <w:color w:val="auto"/>
        </w:rPr>
      </w:pPr>
    </w:p>
    <w:p>
      <w:pPr>
        <w:ind w:right="500" w:firstLine="464"/>
        <w:spacing w:after="0" w:line="286" w:lineRule="auto"/>
        <w:tabs>
          <w:tab w:leader="none" w:pos="781" w:val="left"/>
        </w:tabs>
        <w:numPr>
          <w:ilvl w:val="0"/>
          <w:numId w:val="23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7" w:lineRule="exact"/>
        <w:rPr>
          <w:rFonts w:ascii="Arial" w:cs="Arial" w:eastAsia="Arial" w:hAnsi="Arial"/>
          <w:sz w:val="17"/>
          <w:szCs w:val="17"/>
          <w:b w:val="1"/>
          <w:bCs w:val="1"/>
          <w:color w:val="auto"/>
        </w:rPr>
      </w:pPr>
    </w:p>
    <w:p>
      <w:pPr>
        <w:ind w:firstLine="464"/>
        <w:spacing w:after="0" w:line="277" w:lineRule="auto"/>
        <w:tabs>
          <w:tab w:leader="none" w:pos="822"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62" w:lineRule="exact"/>
        <w:rPr>
          <w:rFonts w:ascii="Arial" w:cs="Arial" w:eastAsia="Arial" w:hAnsi="Arial"/>
          <w:sz w:val="18"/>
          <w:szCs w:val="18"/>
          <w:b w:val="1"/>
          <w:bCs w:val="1"/>
          <w:color w:val="auto"/>
        </w:rPr>
      </w:pPr>
    </w:p>
    <w:p>
      <w:pPr>
        <w:ind w:left="780" w:hanging="316"/>
        <w:spacing w:after="0"/>
        <w:tabs>
          <w:tab w:leader="none" w:pos="780" w:val="left"/>
        </w:tabs>
        <w:numPr>
          <w:ilvl w:val="0"/>
          <w:numId w:val="23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this Forty Seven, Inc. 2015 Equity Incentive Plan.</w:t>
      </w:r>
    </w:p>
    <w:p>
      <w:pPr>
        <w:spacing w:after="0" w:line="128" w:lineRule="exact"/>
        <w:rPr>
          <w:rFonts w:ascii="Arial" w:cs="Arial" w:eastAsia="Arial" w:hAnsi="Arial"/>
          <w:sz w:val="17"/>
          <w:szCs w:val="17"/>
          <w:b w:val="1"/>
          <w:bCs w:val="1"/>
          <w:color w:val="auto"/>
        </w:rPr>
      </w:pPr>
    </w:p>
    <w:p>
      <w:pPr>
        <w:ind w:left="740" w:hanging="276"/>
        <w:spacing w:after="0"/>
        <w:tabs>
          <w:tab w:leader="none" w:pos="740" w:val="left"/>
        </w:tabs>
        <w:numPr>
          <w:ilvl w:val="0"/>
          <w:numId w:val="23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 6(a).</w:t>
      </w:r>
    </w:p>
    <w:p>
      <w:pPr>
        <w:spacing w:after="0" w:line="140" w:lineRule="exact"/>
        <w:rPr>
          <w:rFonts w:ascii="Arial" w:cs="Arial" w:eastAsia="Arial" w:hAnsi="Arial"/>
          <w:sz w:val="16"/>
          <w:szCs w:val="16"/>
          <w:b w:val="1"/>
          <w:bCs w:val="1"/>
          <w:color w:val="auto"/>
        </w:rPr>
      </w:pPr>
    </w:p>
    <w:p>
      <w:pPr>
        <w:ind w:right="120" w:firstLine="464"/>
        <w:spacing w:after="0" w:line="342" w:lineRule="auto"/>
        <w:tabs>
          <w:tab w:leader="none" w:pos="801" w:val="left"/>
        </w:tabs>
        <w:numPr>
          <w:ilvl w:val="0"/>
          <w:numId w:val="23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5" w:lineRule="exact"/>
        <w:rPr>
          <w:rFonts w:ascii="Arial" w:cs="Arial" w:eastAsia="Arial" w:hAnsi="Arial"/>
          <w:sz w:val="16"/>
          <w:szCs w:val="16"/>
          <w:b w:val="1"/>
          <w:bCs w:val="1"/>
          <w:color w:val="auto"/>
        </w:rPr>
      </w:pPr>
    </w:p>
    <w:p>
      <w:pPr>
        <w:ind w:right="600" w:firstLine="464"/>
        <w:spacing w:after="0" w:line="277" w:lineRule="auto"/>
        <w:tabs>
          <w:tab w:leader="none" w:pos="822"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shares of Common Stock which is granted pursuant to the terms and conditions of Section 6(b).</w:t>
      </w:r>
    </w:p>
    <w:p>
      <w:pPr>
        <w:spacing w:after="0" w:line="62" w:lineRule="exact"/>
        <w:rPr>
          <w:rFonts w:ascii="Arial" w:cs="Arial" w:eastAsia="Arial" w:hAnsi="Arial"/>
          <w:sz w:val="18"/>
          <w:szCs w:val="18"/>
          <w:b w:val="1"/>
          <w:bCs w:val="1"/>
          <w:color w:val="auto"/>
        </w:rPr>
      </w:pPr>
    </w:p>
    <w:p>
      <w:pPr>
        <w:ind w:right="240" w:firstLine="464"/>
        <w:spacing w:after="0" w:line="264" w:lineRule="auto"/>
        <w:tabs>
          <w:tab w:leader="none" w:pos="721"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73" w:lineRule="exact"/>
        <w:rPr>
          <w:rFonts w:ascii="Arial" w:cs="Arial" w:eastAsia="Arial" w:hAnsi="Arial"/>
          <w:sz w:val="18"/>
          <w:szCs w:val="18"/>
          <w:b w:val="1"/>
          <w:bCs w:val="1"/>
          <w:color w:val="auto"/>
        </w:rPr>
      </w:pPr>
    </w:p>
    <w:p>
      <w:pPr>
        <w:ind w:left="740" w:hanging="276"/>
        <w:spacing w:after="0"/>
        <w:tabs>
          <w:tab w:leader="none" w:pos="740"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117" w:lineRule="exact"/>
        <w:rPr>
          <w:rFonts w:ascii="Arial" w:cs="Arial" w:eastAsia="Arial" w:hAnsi="Arial"/>
          <w:sz w:val="18"/>
          <w:szCs w:val="18"/>
          <w:b w:val="1"/>
          <w:bCs w:val="1"/>
          <w:color w:val="auto"/>
        </w:rPr>
      </w:pPr>
    </w:p>
    <w:p>
      <w:pPr>
        <w:ind w:left="820" w:hanging="356"/>
        <w:spacing w:after="0"/>
        <w:tabs>
          <w:tab w:leader="none" w:pos="820"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means Rule 701 promulgated under the Securities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84" w:name="page285"/>
    <w:bookmarkEnd w:id="284"/>
    <w:p>
      <w:pPr>
        <w:ind w:left="660" w:hanging="256"/>
        <w:spacing w:after="0"/>
        <w:tabs>
          <w:tab w:leader="none" w:pos="660"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left="-60" w:right="400" w:firstLine="464"/>
        <w:spacing w:after="0" w:line="277" w:lineRule="auto"/>
        <w:tabs>
          <w:tab w:leader="none" w:pos="861"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62" w:lineRule="exact"/>
        <w:rPr>
          <w:rFonts w:ascii="Arial" w:cs="Arial" w:eastAsia="Arial" w:hAnsi="Arial"/>
          <w:sz w:val="18"/>
          <w:szCs w:val="18"/>
          <w:b w:val="1"/>
          <w:bCs w:val="1"/>
          <w:color w:val="auto"/>
        </w:rPr>
      </w:pPr>
    </w:p>
    <w:p>
      <w:pPr>
        <w:ind w:left="-60" w:right="60" w:firstLine="464"/>
        <w:spacing w:after="0" w:line="264" w:lineRule="auto"/>
        <w:tabs>
          <w:tab w:leader="none" w:pos="762"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73" w:lineRule="exact"/>
        <w:rPr>
          <w:rFonts w:ascii="Arial" w:cs="Arial" w:eastAsia="Arial" w:hAnsi="Arial"/>
          <w:sz w:val="18"/>
          <w:szCs w:val="18"/>
          <w:b w:val="1"/>
          <w:bCs w:val="1"/>
          <w:color w:val="auto"/>
        </w:rPr>
      </w:pPr>
    </w:p>
    <w:p>
      <w:pPr>
        <w:ind w:left="-60" w:right="380" w:firstLine="464"/>
        <w:spacing w:after="0" w:line="308" w:lineRule="auto"/>
        <w:tabs>
          <w:tab w:leader="none" w:pos="741" w:val="left"/>
        </w:tabs>
        <w:numPr>
          <w:ilvl w:val="0"/>
          <w:numId w:val="23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Award</w:t>
      </w:r>
      <w:r>
        <w:rPr>
          <w:rFonts w:ascii="Arial" w:cs="Arial" w:eastAsia="Arial" w:hAnsi="Arial"/>
          <w:sz w:val="17"/>
          <w:szCs w:val="17"/>
          <w:color w:val="auto"/>
        </w:rPr>
        <w:t>” means any right to receive Common Stock granted under the Plan, including an Incentive Stock Option, a Nonstatutory Stock Option, a Restricted Stock Award, a Restricted Stock Unit Award, a Stock Appreciation Right or any Other Stock Award.</w:t>
      </w:r>
    </w:p>
    <w:p>
      <w:pPr>
        <w:spacing w:after="0" w:line="38" w:lineRule="exact"/>
        <w:rPr>
          <w:rFonts w:ascii="Arial" w:cs="Arial" w:eastAsia="Arial" w:hAnsi="Arial"/>
          <w:sz w:val="17"/>
          <w:szCs w:val="17"/>
          <w:b w:val="1"/>
          <w:bCs w:val="1"/>
          <w:color w:val="auto"/>
        </w:rPr>
      </w:pPr>
    </w:p>
    <w:p>
      <w:pPr>
        <w:ind w:left="-60" w:right="300" w:firstLine="464"/>
        <w:spacing w:after="0" w:line="277" w:lineRule="auto"/>
        <w:tabs>
          <w:tab w:leader="none" w:pos="762"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62" w:lineRule="exact"/>
        <w:rPr>
          <w:rFonts w:ascii="Arial" w:cs="Arial" w:eastAsia="Arial" w:hAnsi="Arial"/>
          <w:sz w:val="18"/>
          <w:szCs w:val="18"/>
          <w:b w:val="1"/>
          <w:bCs w:val="1"/>
          <w:color w:val="auto"/>
        </w:rPr>
      </w:pPr>
    </w:p>
    <w:p>
      <w:pPr>
        <w:ind w:left="-60" w:firstLine="464"/>
        <w:spacing w:after="0" w:line="276" w:lineRule="auto"/>
        <w:tabs>
          <w:tab w:leader="none" w:pos="762" w:val="left"/>
        </w:tabs>
        <w:numPr>
          <w:ilvl w:val="0"/>
          <w:numId w:val="23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w:t>
      </w:r>
    </w:p>
    <w:p>
      <w:pPr>
        <w:spacing w:after="0" w:line="64" w:lineRule="exact"/>
        <w:rPr>
          <w:rFonts w:ascii="Arial" w:cs="Arial" w:eastAsia="Arial" w:hAnsi="Arial"/>
          <w:sz w:val="17"/>
          <w:szCs w:val="17"/>
          <w:b w:val="1"/>
          <w:bCs w:val="1"/>
          <w:color w:val="auto"/>
        </w:rPr>
      </w:pPr>
    </w:p>
    <w:p>
      <w:pPr>
        <w:ind w:left="-60" w:right="120" w:firstLine="464"/>
        <w:spacing w:after="0" w:line="277" w:lineRule="auto"/>
        <w:tabs>
          <w:tab w:leader="none" w:pos="721"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ten percent (10%) of the total combined voting power of all classes of stock of the Company or any Affiliate.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300" w:top="274" w:right="27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FORTY SEVEN, INC.</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STOCK OPTION GRANT NOTICE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(2015 EQUITY INCENTIVE PLAN)</w:t>
      </w:r>
    </w:p>
    <w:p>
      <w:pPr>
        <w:spacing w:after="0" w:line="207"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b w:val="1"/>
          <w:bCs w:val="1"/>
          <w:color w:val="auto"/>
        </w:rPr>
        <w:t>F</w:t>
      </w:r>
      <w:r>
        <w:rPr>
          <w:rFonts w:ascii="Arial" w:cs="Arial" w:eastAsia="Arial" w:hAnsi="Arial"/>
          <w:sz w:val="14"/>
          <w:szCs w:val="14"/>
          <w:b w:val="1"/>
          <w:bCs w:val="1"/>
          <w:color w:val="auto"/>
        </w:rPr>
        <w:t>ORTY</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EVEN</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2015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hereby grants to Optionholder an option to purchase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of the Company’s Common Stock set forth below. This option is subject to all of the terms and conditions as set forth in this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notice and the Plan, the terms of the Plan will control.</w:t>
      </w:r>
    </w:p>
    <w:p>
      <w:pPr>
        <w:spacing w:after="0" w:line="19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4352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2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4352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2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4352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2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4352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2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4352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2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4352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2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4352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378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Arial" w:cs="Arial" w:eastAsia="Arial" w:hAnsi="Arial"/>
                <w:sz w:val="15"/>
                <w:szCs w:val="15"/>
                <w:color w:val="auto"/>
              </w:rPr>
              <w:t>1</w:t>
            </w:r>
          </w:p>
        </w:tc>
        <w:tc>
          <w:tcPr>
            <w:tcW w:w="3480" w:type="dxa"/>
            <w:vAlign w:val="bottom"/>
          </w:tcPr>
          <w:p>
            <w:pPr>
              <w:ind w:left="1340"/>
              <w:spacing w:after="0" w:line="207" w:lineRule="exact"/>
              <w:rPr>
                <w:sz w:val="20"/>
                <w:szCs w:val="20"/>
                <w:color w:val="auto"/>
              </w:rPr>
            </w:pP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Nonstatutory Stock Option</w:t>
            </w:r>
          </w:p>
        </w:tc>
      </w:tr>
      <w:tr>
        <w:trPr>
          <w:trHeight w:val="324"/>
        </w:trPr>
        <w:tc>
          <w:tcPr>
            <w:tcW w:w="1740" w:type="dxa"/>
            <w:vAlign w:val="bottom"/>
          </w:tcPr>
          <w:p>
            <w:pPr>
              <w:spacing w:after="0"/>
              <w:rPr>
                <w:sz w:val="20"/>
                <w:szCs w:val="20"/>
                <w:color w:val="auto"/>
              </w:rPr>
            </w:pPr>
            <w:r>
              <w:rPr>
                <w:rFonts w:ascii="Arial" w:cs="Arial" w:eastAsia="Arial" w:hAnsi="Arial"/>
                <w:sz w:val="18"/>
                <w:szCs w:val="18"/>
                <w:b w:val="1"/>
                <w:bCs w:val="1"/>
                <w:color w:val="auto"/>
              </w:rPr>
              <w:t>Exercise Schedule</w:t>
            </w:r>
            <w:r>
              <w:rPr>
                <w:rFonts w:ascii="Arial" w:cs="Arial" w:eastAsia="Arial" w:hAnsi="Arial"/>
                <w:sz w:val="18"/>
                <w:szCs w:val="18"/>
                <w:color w:val="auto"/>
              </w:rPr>
              <w:t>:</w:t>
            </w:r>
          </w:p>
        </w:tc>
        <w:tc>
          <w:tcPr>
            <w:tcW w:w="378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Same as Vesting Schedule</w:t>
            </w:r>
          </w:p>
        </w:tc>
        <w:tc>
          <w:tcPr>
            <w:tcW w:w="3480" w:type="dxa"/>
            <w:vAlign w:val="bottom"/>
          </w:tcPr>
          <w:p>
            <w:pPr>
              <w:ind w:left="1340"/>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Early Exercise Permitted</w:t>
            </w:r>
          </w:p>
        </w:tc>
      </w:tr>
      <w:tr>
        <w:trPr>
          <w:trHeight w:val="304"/>
        </w:trPr>
        <w:tc>
          <w:tcPr>
            <w:tcW w:w="1740" w:type="dxa"/>
            <w:vAlign w:val="bottom"/>
          </w:tcPr>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1790"/>
              <w:spacing w:after="0"/>
              <w:rPr>
                <w:sz w:val="20"/>
                <w:szCs w:val="20"/>
                <w:color w:val="auto"/>
              </w:rPr>
            </w:pPr>
            <w:r>
              <w:rPr>
                <w:rFonts w:ascii="Arial" w:cs="Arial" w:eastAsia="Arial" w:hAnsi="Arial"/>
                <w:sz w:val="18"/>
                <w:szCs w:val="18"/>
                <w:color w:val="auto"/>
              </w:rPr>
              <w:t>]</w:t>
            </w:r>
          </w:p>
        </w:tc>
        <w:tc>
          <w:tcPr>
            <w:tcW w:w="3480" w:type="dxa"/>
            <w:vAlign w:val="bottom"/>
          </w:tcPr>
          <w:p>
            <w:pPr>
              <w:spacing w:after="0"/>
              <w:rPr>
                <w:sz w:val="24"/>
                <w:szCs w:val="24"/>
                <w:color w:val="auto"/>
              </w:rPr>
            </w:pPr>
          </w:p>
        </w:tc>
      </w:tr>
      <w:tr>
        <w:trPr>
          <w:trHeight w:val="324"/>
        </w:trPr>
        <w:tc>
          <w:tcPr>
            <w:tcW w:w="1740" w:type="dxa"/>
            <w:vAlign w:val="bottom"/>
          </w:tcPr>
          <w:p>
            <w:pPr>
              <w:spacing w:after="0"/>
              <w:rPr>
                <w:sz w:val="20"/>
                <w:szCs w:val="20"/>
                <w:color w:val="auto"/>
              </w:rPr>
            </w:pPr>
            <w:r>
              <w:rPr>
                <w:rFonts w:ascii="Arial" w:cs="Arial" w:eastAsia="Arial" w:hAnsi="Arial"/>
                <w:sz w:val="18"/>
                <w:szCs w:val="18"/>
                <w:b w:val="1"/>
                <w:bCs w:val="1"/>
                <w:color w:val="auto"/>
              </w:rPr>
              <w:t>Payment:</w:t>
            </w:r>
          </w:p>
        </w:tc>
        <w:tc>
          <w:tcPr>
            <w:tcW w:w="7260" w:type="dxa"/>
            <w:vAlign w:val="bottom"/>
            <w:gridSpan w:val="3"/>
          </w:tcPr>
          <w:p>
            <w:pPr>
              <w:ind w:left="300"/>
              <w:spacing w:after="0"/>
              <w:rPr>
                <w:sz w:val="20"/>
                <w:szCs w:val="20"/>
                <w:color w:val="auto"/>
              </w:rPr>
            </w:pPr>
            <w:r>
              <w:rPr>
                <w:rFonts w:ascii="Arial" w:cs="Arial" w:eastAsia="Arial" w:hAnsi="Arial"/>
                <w:sz w:val="18"/>
                <w:szCs w:val="18"/>
                <w:color w:val="auto"/>
              </w:rPr>
              <w:t>By one or a combination of the following items (described in the Option Agreement):</w:t>
            </w:r>
          </w:p>
        </w:tc>
      </w:tr>
    </w:tbl>
    <w:p>
      <w:pPr>
        <w:spacing w:after="0" w:line="94" w:lineRule="exact"/>
        <w:rPr>
          <w:sz w:val="20"/>
          <w:szCs w:val="20"/>
          <w:color w:val="auto"/>
        </w:rPr>
      </w:pPr>
    </w:p>
    <w:p>
      <w:pPr>
        <w:ind w:left="2420" w:hanging="386"/>
        <w:spacing w:after="0"/>
        <w:tabs>
          <w:tab w:leader="none" w:pos="2420" w:val="left"/>
        </w:tabs>
        <w:numPr>
          <w:ilvl w:val="1"/>
          <w:numId w:val="238"/>
        </w:numPr>
        <w:rPr>
          <w:rFonts w:ascii="MS PGothic" w:cs="MS PGothic" w:eastAsia="MS PGothic" w:hAnsi="MS PGothic"/>
          <w:sz w:val="18"/>
          <w:szCs w:val="18"/>
          <w:color w:val="auto"/>
        </w:rPr>
      </w:pPr>
      <w:r>
        <w:rPr>
          <w:rFonts w:ascii="Arial" w:cs="Arial" w:eastAsia="Arial" w:hAnsi="Arial"/>
          <w:sz w:val="18"/>
          <w:szCs w:val="18"/>
          <w:color w:val="auto"/>
        </w:rPr>
        <w:t>By cash, check, bank draft or money order payable to the Company</w:t>
      </w:r>
    </w:p>
    <w:p>
      <w:pPr>
        <w:spacing w:after="0" w:line="117" w:lineRule="exact"/>
        <w:rPr>
          <w:rFonts w:ascii="MS PGothic" w:cs="MS PGothic" w:eastAsia="MS PGothic" w:hAnsi="MS PGothic"/>
          <w:sz w:val="18"/>
          <w:szCs w:val="18"/>
          <w:color w:val="auto"/>
        </w:rPr>
      </w:pPr>
    </w:p>
    <w:p>
      <w:pPr>
        <w:ind w:left="2420" w:hanging="386"/>
        <w:spacing w:after="0"/>
        <w:tabs>
          <w:tab w:leader="none" w:pos="2420" w:val="left"/>
        </w:tabs>
        <w:numPr>
          <w:ilvl w:val="1"/>
          <w:numId w:val="238"/>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 if the shares are publicly traded</w:t>
      </w:r>
    </w:p>
    <w:p>
      <w:pPr>
        <w:spacing w:after="0" w:line="117" w:lineRule="exact"/>
        <w:rPr>
          <w:rFonts w:ascii="MS PGothic" w:cs="MS PGothic" w:eastAsia="MS PGothic" w:hAnsi="MS PGothic"/>
          <w:sz w:val="18"/>
          <w:szCs w:val="18"/>
          <w:color w:val="auto"/>
        </w:rPr>
      </w:pPr>
    </w:p>
    <w:p>
      <w:pPr>
        <w:ind w:left="2420" w:hanging="386"/>
        <w:spacing w:after="0"/>
        <w:tabs>
          <w:tab w:leader="none" w:pos="2420" w:val="left"/>
        </w:tabs>
        <w:numPr>
          <w:ilvl w:val="1"/>
          <w:numId w:val="238"/>
        </w:numPr>
        <w:rPr>
          <w:rFonts w:ascii="MS PGothic" w:cs="MS PGothic" w:eastAsia="MS PGothic" w:hAnsi="MS PGothic"/>
          <w:sz w:val="18"/>
          <w:szCs w:val="18"/>
          <w:color w:val="auto"/>
        </w:rPr>
      </w:pPr>
      <w:r>
        <w:rPr>
          <w:rFonts w:ascii="Arial" w:cs="Arial" w:eastAsia="Arial" w:hAnsi="Arial"/>
          <w:sz w:val="18"/>
          <w:szCs w:val="18"/>
          <w:color w:val="auto"/>
        </w:rPr>
        <w:t>By delivery of already-owned shares if the shares are publicly traded</w:t>
      </w:r>
    </w:p>
    <w:p>
      <w:pPr>
        <w:spacing w:after="0" w:line="117" w:lineRule="exact"/>
        <w:rPr>
          <w:rFonts w:ascii="MS PGothic" w:cs="MS PGothic" w:eastAsia="MS PGothic" w:hAnsi="MS PGothic"/>
          <w:sz w:val="18"/>
          <w:szCs w:val="18"/>
          <w:color w:val="auto"/>
        </w:rPr>
      </w:pPr>
    </w:p>
    <w:p>
      <w:pPr>
        <w:ind w:left="2420" w:hanging="386"/>
        <w:spacing w:after="0"/>
        <w:tabs>
          <w:tab w:leader="none" w:pos="2420" w:val="left"/>
        </w:tabs>
        <w:numPr>
          <w:ilvl w:val="1"/>
          <w:numId w:val="238"/>
        </w:numPr>
        <w:rPr>
          <w:rFonts w:ascii="MS PGothic" w:cs="MS PGothic" w:eastAsia="MS PGothic" w:hAnsi="MS PGothic"/>
          <w:sz w:val="18"/>
          <w:szCs w:val="18"/>
          <w:color w:val="auto"/>
        </w:rPr>
      </w:pPr>
      <w:r>
        <w:rPr>
          <w:rFonts w:ascii="Arial" w:cs="Arial" w:eastAsia="Arial" w:hAnsi="Arial"/>
          <w:sz w:val="18"/>
          <w:szCs w:val="18"/>
          <w:color w:val="auto"/>
        </w:rPr>
        <w:t>By deferred payment</w:t>
      </w:r>
    </w:p>
    <w:p>
      <w:pPr>
        <w:spacing w:after="0" w:line="117" w:lineRule="exact"/>
        <w:rPr>
          <w:rFonts w:ascii="MS PGothic" w:cs="MS PGothic" w:eastAsia="MS PGothic" w:hAnsi="MS PGothic"/>
          <w:sz w:val="18"/>
          <w:szCs w:val="18"/>
          <w:color w:val="auto"/>
        </w:rPr>
      </w:pPr>
    </w:p>
    <w:p>
      <w:pPr>
        <w:ind w:left="2420" w:right="380" w:hanging="386"/>
        <w:spacing w:after="0" w:line="277" w:lineRule="auto"/>
        <w:tabs>
          <w:tab w:leader="none" w:pos="2420" w:val="left"/>
        </w:tabs>
        <w:numPr>
          <w:ilvl w:val="1"/>
          <w:numId w:val="238"/>
        </w:numPr>
        <w:rPr>
          <w:rFonts w:ascii="MS PGothic" w:cs="MS PGothic" w:eastAsia="MS PGothic" w:hAnsi="MS PGothic"/>
          <w:sz w:val="18"/>
          <w:szCs w:val="18"/>
          <w:color w:val="auto"/>
        </w:rPr>
      </w:pPr>
      <w:r>
        <w:rPr>
          <w:rFonts w:ascii="Arial" w:cs="Arial" w:eastAsia="Arial" w:hAnsi="Arial"/>
          <w:sz w:val="18"/>
          <w:szCs w:val="18"/>
          <w:color w:val="auto"/>
        </w:rPr>
        <w:t>If and only to the extent this option is a Nonstatutory Stock Option, and subject to the Company’s consent at the time of exercise, by a “net exercise” arrangement</w:t>
      </w:r>
    </w:p>
    <w:p>
      <w:pPr>
        <w:spacing w:after="0" w:line="143" w:lineRule="exact"/>
        <w:rPr>
          <w:rFonts w:ascii="MS PGothic" w:cs="MS PGothic" w:eastAsia="MS PGothic" w:hAnsi="MS PGothic"/>
          <w:sz w:val="18"/>
          <w:szCs w:val="18"/>
          <w:color w:val="auto"/>
        </w:rPr>
      </w:pPr>
    </w:p>
    <w:p>
      <w:pPr>
        <w:ind w:left="460" w:right="420" w:hanging="446"/>
        <w:spacing w:after="0" w:line="277" w:lineRule="auto"/>
        <w:rPr>
          <w:rFonts w:ascii="MS PGothic" w:cs="MS PGothic" w:eastAsia="MS PGothic" w:hAnsi="MS PGothic"/>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89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6" w:name="page287"/>
    <w:bookmarkEnd w:id="286"/>
    <w:p>
      <w:pPr>
        <w:ind w:right="8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Additional Terms/Acknowledgements: </w:t>
      </w:r>
      <w:r>
        <w:rPr>
          <w:rFonts w:ascii="Arial" w:cs="Arial" w:eastAsia="Arial" w:hAnsi="Arial"/>
          <w:sz w:val="16"/>
          <w:szCs w:val="16"/>
          <w:color w:val="auto"/>
        </w:rPr>
        <w:t>Optionholder acknowledges receipt of, and understands and agrees to, this Stock Option Grant Notice,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 options previously granted and delivered to Optionholder, and (ii) the following agreements only.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17145</wp:posOffset>
            </wp:positionV>
            <wp:extent cx="53943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5394325"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172085</wp:posOffset>
            </wp:positionV>
            <wp:extent cx="53943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5394325"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326390</wp:posOffset>
            </wp:positionV>
            <wp:extent cx="53943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5"/>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ORTY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EVEN</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PTIONHOLDER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060" w:type="dxa"/>
            <w:vAlign w:val="bottom"/>
            <w:gridSpan w:val="5"/>
            <w:vMerge w:val="restart"/>
          </w:tcPr>
          <w:p>
            <w:pPr>
              <w:spacing w:after="0"/>
              <w:rPr>
                <w:sz w:val="20"/>
                <w:szCs w:val="20"/>
                <w:color w:val="auto"/>
              </w:rPr>
            </w:pPr>
            <w:r>
              <w:rPr>
                <w:rFonts w:ascii="Arial" w:cs="Arial" w:eastAsia="Arial" w:hAnsi="Arial"/>
                <w:sz w:val="18"/>
                <w:szCs w:val="18"/>
                <w:color w:val="auto"/>
              </w:rPr>
              <w:t>By:</w:t>
            </w:r>
          </w:p>
        </w:tc>
        <w:tc>
          <w:tcPr>
            <w:tcW w:w="3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060" w:type="dxa"/>
            <w:vAlign w:val="bottom"/>
            <w:gridSpan w:val="5"/>
            <w:vMerge w:val="continue"/>
          </w:tcPr>
          <w:p>
            <w:pPr>
              <w:spacing w:after="0"/>
              <w:rPr>
                <w:sz w:val="15"/>
                <w:szCs w:val="15"/>
                <w:color w:val="auto"/>
              </w:rPr>
            </w:pPr>
          </w:p>
        </w:tc>
        <w:tc>
          <w:tcPr>
            <w:tcW w:w="380" w:type="dxa"/>
            <w:vAlign w:val="bottom"/>
          </w:tcPr>
          <w:p>
            <w:pPr>
              <w:spacing w:after="0"/>
              <w:rPr>
                <w:sz w:val="15"/>
                <w:szCs w:val="15"/>
                <w:color w:val="auto"/>
              </w:rPr>
            </w:pPr>
          </w:p>
        </w:tc>
        <w:tc>
          <w:tcPr>
            <w:tcW w:w="4980" w:type="dxa"/>
            <w:vAlign w:val="bottom"/>
            <w:gridSpan w:val="2"/>
          </w:tcPr>
          <w:p>
            <w:pPr>
              <w:ind w:left="1960"/>
              <w:spacing w:after="0" w:line="182" w:lineRule="exact"/>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Mark A. McCamish</w:t>
            </w:r>
          </w:p>
        </w:tc>
        <w:tc>
          <w:tcPr>
            <w:tcW w:w="2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60" w:type="dxa"/>
            <w:vAlign w:val="bottom"/>
            <w:gridSpan w:val="3"/>
          </w:tcPr>
          <w:p>
            <w:pPr>
              <w:ind w:left="140"/>
              <w:spacing w:after="0" w:line="203" w:lineRule="exact"/>
              <w:rPr>
                <w:sz w:val="20"/>
                <w:szCs w:val="20"/>
                <w:color w:val="auto"/>
              </w:rPr>
            </w:pPr>
            <w:r>
              <w:rPr>
                <w:rFonts w:ascii="Arial" w:cs="Arial" w:eastAsia="Arial" w:hAnsi="Arial"/>
                <w:sz w:val="18"/>
                <w:szCs w:val="18"/>
                <w:color w:val="auto"/>
              </w:rPr>
              <w:t>President and Chief Executive Officer</w:t>
            </w:r>
          </w:p>
        </w:tc>
        <w:tc>
          <w:tcPr>
            <w:tcW w:w="5360" w:type="dxa"/>
            <w:vAlign w:val="bottom"/>
            <w:gridSpan w:val="3"/>
          </w:tcPr>
          <w:p>
            <w:pPr>
              <w:spacing w:after="0" w:line="203"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26"/>
        </w:trPr>
        <w:tc>
          <w:tcPr>
            <w:tcW w:w="400" w:type="dxa"/>
            <w:vAlign w:val="bottom"/>
            <w:gridSpan w:val="2"/>
          </w:tcPr>
          <w:p>
            <w:pPr>
              <w:spacing w:after="0"/>
              <w:rPr>
                <w:sz w:val="20"/>
                <w:szCs w:val="20"/>
                <w:color w:val="auto"/>
              </w:rPr>
            </w:pPr>
            <w:r>
              <w:rPr>
                <w:rFonts w:ascii="Arial" w:cs="Arial" w:eastAsia="Arial" w:hAnsi="Arial"/>
                <w:sz w:val="18"/>
                <w:szCs w:val="18"/>
                <w:color w:val="auto"/>
                <w:w w:val="88"/>
              </w:rPr>
              <w:t>Date:</w:t>
            </w:r>
          </w:p>
        </w:tc>
        <w:tc>
          <w:tcPr>
            <w:tcW w:w="3680" w:type="dxa"/>
            <w:vAlign w:val="bottom"/>
            <w:tcBorders>
              <w:bottom w:val="single" w:sz="8" w:color="auto"/>
            </w:tcBorders>
            <w:gridSpan w:val="2"/>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TTACHMENTS</w:t>
      </w:r>
      <w:r>
        <w:rPr>
          <w:rFonts w:ascii="Arial" w:cs="Arial" w:eastAsia="Arial" w:hAnsi="Arial"/>
          <w:sz w:val="18"/>
          <w:szCs w:val="18"/>
          <w:color w:val="auto"/>
        </w:rPr>
        <w:t>: Option Agreement, 2015 Equity Incentive Plan and Notice of Exercise</w:t>
      </w:r>
    </w:p>
    <w:p>
      <w:pPr>
        <w:sectPr>
          <w:pgSz w:w="11900" w:h="16838" w:orient="portrait"/>
          <w:cols w:equalWidth="0" w:num="1">
            <w:col w:w="11420"/>
          </w:cols>
          <w:pgMar w:left="240" w:top="270" w:right="239" w:bottom="1440" w:gutter="0" w:footer="0" w:header="0"/>
        </w:sectPr>
      </w:pPr>
    </w:p>
    <w:bookmarkStart w:id="287" w:name="page288"/>
    <w:bookmarkEnd w:id="28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FORTY SEVEN, INC.</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2015 EQUITY INCENTIVE PLAN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(INCENTIVE STOCK OPTION OR NONSTATUTORY STOCK OPTION)</w:t>
      </w:r>
    </w:p>
    <w:p>
      <w:pPr>
        <w:spacing w:after="0" w:line="2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Pursuant to your Stock Option Grant Notice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xml:space="preserve">”) and this Option Agreement, </w:t>
      </w:r>
      <w:r>
        <w:rPr>
          <w:rFonts w:ascii="Arial" w:cs="Arial" w:eastAsia="Arial" w:hAnsi="Arial"/>
          <w:sz w:val="16"/>
          <w:szCs w:val="16"/>
          <w:b w:val="1"/>
          <w:bCs w:val="1"/>
          <w:color w:val="auto"/>
        </w:rPr>
        <w:t>F</w:t>
      </w:r>
      <w:r>
        <w:rPr>
          <w:rFonts w:ascii="Arial" w:cs="Arial" w:eastAsia="Arial" w:hAnsi="Arial"/>
          <w:sz w:val="13"/>
          <w:szCs w:val="13"/>
          <w:b w:val="1"/>
          <w:bCs w:val="1"/>
          <w:color w:val="auto"/>
        </w:rPr>
        <w:t>ORTY</w:t>
      </w:r>
      <w:r>
        <w:rPr>
          <w:rFonts w:ascii="Arial" w:cs="Arial" w:eastAsia="Arial" w:hAnsi="Arial"/>
          <w:sz w:val="16"/>
          <w:szCs w:val="16"/>
          <w:color w:val="auto"/>
        </w:rPr>
        <w:t xml:space="preserve"> </w:t>
      </w:r>
      <w:r>
        <w:rPr>
          <w:rFonts w:ascii="Arial" w:cs="Arial" w:eastAsia="Arial" w:hAnsi="Arial"/>
          <w:sz w:val="16"/>
          <w:szCs w:val="16"/>
          <w:b w:val="1"/>
          <w:bCs w:val="1"/>
          <w:color w:val="auto"/>
        </w:rPr>
        <w:t>S</w:t>
      </w:r>
      <w:r>
        <w:rPr>
          <w:rFonts w:ascii="Arial" w:cs="Arial" w:eastAsia="Arial" w:hAnsi="Arial"/>
          <w:sz w:val="13"/>
          <w:szCs w:val="13"/>
          <w:b w:val="1"/>
          <w:bCs w:val="1"/>
          <w:color w:val="auto"/>
        </w:rPr>
        <w:t>EVEN</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you an option under its 2015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6"/>
          <w:szCs w:val="16"/>
          <w:b w:val="1"/>
          <w:bCs w:val="1"/>
          <w:i w:val="1"/>
          <w:iCs w:val="1"/>
          <w:color w:val="auto"/>
        </w:rPr>
        <w:t>Date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Grant</w:t>
      </w:r>
      <w:r>
        <w:rPr>
          <w:rFonts w:ascii="Arial" w:cs="Arial" w:eastAsia="Arial" w:hAnsi="Arial"/>
          <w:sz w:val="16"/>
          <w:szCs w:val="16"/>
          <w:color w:val="auto"/>
        </w:rPr>
        <w:t>”). If there is any conflict between the terms in this Option Agreement and the Plan, the terms of the Plan will control. Capitalized terms not explicitly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defined in this Option Agreement or in the Grant Notice but defined in the Plan will have the same definitions as in the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113" w:lineRule="exact"/>
        <w:rPr>
          <w:sz w:val="20"/>
          <w:szCs w:val="20"/>
          <w:color w:val="auto"/>
        </w:rPr>
      </w:pPr>
    </w:p>
    <w:p>
      <w:pPr>
        <w:ind w:left="640" w:hanging="176"/>
        <w:spacing w:after="0"/>
        <w:tabs>
          <w:tab w:leader="none" w:pos="640"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ESTING</w:t>
      </w:r>
      <w:r>
        <w:rPr>
          <w:rFonts w:ascii="Arial" w:cs="Arial" w:eastAsia="Arial" w:hAnsi="Arial"/>
          <w:sz w:val="18"/>
          <w:szCs w:val="18"/>
          <w:color w:val="auto"/>
        </w:rPr>
        <w:t>. Your option will vest as provided in your Grant Notice. Vesting will cease upon the termination of your Continuous Service.</w:t>
      </w:r>
    </w:p>
    <w:p>
      <w:pPr>
        <w:spacing w:after="0" w:line="117" w:lineRule="exact"/>
        <w:rPr>
          <w:rFonts w:ascii="Arial" w:cs="Arial" w:eastAsia="Arial" w:hAnsi="Arial"/>
          <w:sz w:val="18"/>
          <w:szCs w:val="18"/>
          <w:b w:val="1"/>
          <w:bCs w:val="1"/>
          <w:color w:val="auto"/>
        </w:rPr>
      </w:pPr>
    </w:p>
    <w:p>
      <w:pPr>
        <w:ind w:right="60" w:firstLine="464"/>
        <w:spacing w:after="0" w:line="282" w:lineRule="auto"/>
        <w:tabs>
          <w:tab w:leader="none" w:pos="636"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color w:val="auto"/>
        </w:rPr>
        <w:t>. The number of shares of Common Stock subject to your option and your exercise price per share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Grant Notice will be adjusted for Capitalization Adjustments.</w:t>
      </w:r>
    </w:p>
    <w:p>
      <w:pPr>
        <w:spacing w:after="0" w:line="53" w:lineRule="exact"/>
        <w:rPr>
          <w:rFonts w:ascii="Arial" w:cs="Arial" w:eastAsia="Arial" w:hAnsi="Arial"/>
          <w:sz w:val="18"/>
          <w:szCs w:val="18"/>
          <w:b w:val="1"/>
          <w:bCs w:val="1"/>
          <w:color w:val="auto"/>
        </w:rPr>
      </w:pPr>
    </w:p>
    <w:p>
      <w:pPr>
        <w:ind w:firstLine="464"/>
        <w:spacing w:after="0" w:line="295" w:lineRule="auto"/>
        <w:tabs>
          <w:tab w:leader="none" w:pos="636" w:val="left"/>
        </w:tabs>
        <w:numPr>
          <w:ilvl w:val="1"/>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E</w:t>
      </w:r>
      <w:r>
        <w:rPr>
          <w:rFonts w:ascii="Arial" w:cs="Arial" w:eastAsia="Arial" w:hAnsi="Arial"/>
          <w:sz w:val="13"/>
          <w:szCs w:val="13"/>
          <w:b w:val="1"/>
          <w:bCs w:val="1"/>
          <w:color w:val="auto"/>
        </w:rPr>
        <w:t>XERCISE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ESTRICTION FOR</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ON</w:t>
      </w:r>
      <w:r>
        <w:rPr>
          <w:rFonts w:ascii="Arial" w:cs="Arial" w:eastAsia="Arial" w:hAnsi="Arial"/>
          <w:sz w:val="16"/>
          <w:szCs w:val="16"/>
          <w:b w:val="1"/>
          <w:bCs w:val="1"/>
          <w:color w:val="auto"/>
        </w:rPr>
        <w:t>-E</w:t>
      </w:r>
      <w:r>
        <w:rPr>
          <w:rFonts w:ascii="Arial" w:cs="Arial" w:eastAsia="Arial" w:hAnsi="Arial"/>
          <w:sz w:val="13"/>
          <w:szCs w:val="13"/>
          <w:b w:val="1"/>
          <w:bCs w:val="1"/>
          <w:color w:val="auto"/>
        </w:rPr>
        <w:t>XEMPT</w:t>
      </w:r>
      <w:r>
        <w:rPr>
          <w:rFonts w:ascii="Arial" w:cs="Arial" w:eastAsia="Arial" w:hAnsi="Arial"/>
          <w:sz w:val="16"/>
          <w:szCs w:val="16"/>
          <w:b w:val="1"/>
          <w:bCs w:val="1"/>
          <w:color w:val="auto"/>
        </w:rPr>
        <w:t xml:space="preserve"> E</w:t>
      </w:r>
      <w:r>
        <w:rPr>
          <w:rFonts w:ascii="Arial" w:cs="Arial" w:eastAsia="Arial" w:hAnsi="Arial"/>
          <w:sz w:val="13"/>
          <w:szCs w:val="13"/>
          <w:b w:val="1"/>
          <w:bCs w:val="1"/>
          <w:color w:val="auto"/>
        </w:rPr>
        <w:t>MPLOYEES</w:t>
      </w:r>
      <w:r>
        <w:rPr>
          <w:rFonts w:ascii="Arial" w:cs="Arial" w:eastAsia="Arial" w:hAnsi="Arial"/>
          <w:sz w:val="16"/>
          <w:szCs w:val="16"/>
          <w:color w:val="auto"/>
        </w:rPr>
        <w:t>. If you are an Employee eligible for overtime compensation under the Fair Labor</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Act of 1938, as amended (that is, a “</w:t>
      </w:r>
      <w:r>
        <w:rPr>
          <w:rFonts w:ascii="Arial" w:cs="Arial" w:eastAsia="Arial" w:hAnsi="Arial"/>
          <w:sz w:val="16"/>
          <w:szCs w:val="16"/>
          <w:b w:val="1"/>
          <w:bCs w:val="1"/>
          <w:i w:val="1"/>
          <w:iCs w:val="1"/>
          <w:color w:val="auto"/>
        </w:rPr>
        <w:t>Non-Exempt Employee</w:t>
      </w:r>
      <w:r>
        <w:rPr>
          <w:rFonts w:ascii="Arial" w:cs="Arial" w:eastAsia="Arial" w:hAnsi="Arial"/>
          <w:sz w:val="16"/>
          <w:szCs w:val="16"/>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47" w:lineRule="exact"/>
        <w:rPr>
          <w:rFonts w:ascii="Arial" w:cs="Arial" w:eastAsia="Arial" w:hAnsi="Arial"/>
          <w:sz w:val="16"/>
          <w:szCs w:val="16"/>
          <w:b w:val="1"/>
          <w:bCs w:val="1"/>
          <w:color w:val="auto"/>
        </w:rPr>
      </w:pPr>
    </w:p>
    <w:p>
      <w:pPr>
        <w:ind w:right="100" w:firstLine="464"/>
        <w:spacing w:after="0" w:line="276" w:lineRule="auto"/>
        <w:tabs>
          <w:tab w:leader="none" w:pos="636" w:val="left"/>
        </w:tabs>
        <w:numPr>
          <w:ilvl w:val="1"/>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XERCISE PRIOR TO</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ESTING</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ARLY</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7"/>
          <w:szCs w:val="17"/>
          <w:b w:val="1"/>
          <w:bCs w:val="1"/>
          <w:color w:val="auto"/>
        </w:rPr>
        <w:t>”)</w:t>
      </w:r>
      <w:r>
        <w:rPr>
          <w:rFonts w:ascii="Arial" w:cs="Arial" w:eastAsia="Arial" w:hAnsi="Arial"/>
          <w:sz w:val="17"/>
          <w:szCs w:val="17"/>
          <w:color w:val="auto"/>
        </w:rPr>
        <w:t>. If permitted in your Grant Notice (</w:t>
      </w:r>
      <w:r>
        <w:rPr>
          <w:rFonts w:ascii="Arial" w:cs="Arial" w:eastAsia="Arial" w:hAnsi="Arial"/>
          <w:sz w:val="17"/>
          <w:szCs w:val="17"/>
          <w:i w:val="1"/>
          <w:iCs w:val="1"/>
          <w:color w:val="auto"/>
        </w:rPr>
        <w:t>i.e.</w:t>
      </w:r>
      <w:r>
        <w:rPr>
          <w:rFonts w:ascii="Arial" w:cs="Arial" w:eastAsia="Arial" w:hAnsi="Arial"/>
          <w:sz w:val="17"/>
          <w:szCs w:val="17"/>
          <w:color w:val="auto"/>
        </w:rPr>
        <w:t>, the “Exercise Schedule” indicates “Early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and subject to the provisions of your option, you may elect at any time that is both (i) during the period of your Continuous Service and</w:t>
      </w:r>
    </w:p>
    <w:p>
      <w:pPr>
        <w:ind w:left="280" w:hanging="272"/>
        <w:spacing w:after="0"/>
        <w:tabs>
          <w:tab w:leader="none" w:pos="2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during the term of your option, to exercise all or part of your option, including the unvested portion of your option;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102" w:lineRule="exact"/>
        <w:rPr>
          <w:rFonts w:ascii="Arial" w:cs="Arial" w:eastAsia="Arial" w:hAnsi="Arial"/>
          <w:sz w:val="18"/>
          <w:szCs w:val="18"/>
          <w:color w:val="auto"/>
        </w:rPr>
      </w:pPr>
    </w:p>
    <w:p>
      <w:pPr>
        <w:ind w:right="240" w:firstLine="921"/>
        <w:spacing w:after="0" w:line="277" w:lineRule="auto"/>
        <w:tabs>
          <w:tab w:leader="none" w:pos="1168" w:val="left"/>
        </w:tabs>
        <w:numPr>
          <w:ilvl w:val="2"/>
          <w:numId w:val="240"/>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will be deemed to cover first vested shares of Common Stock and then the earliest vesting installment of unvested shares of Common Stock;</w:t>
      </w:r>
    </w:p>
    <w:p>
      <w:pPr>
        <w:sectPr>
          <w:pgSz w:w="11900" w:h="16838" w:orient="portrait"/>
          <w:cols w:equalWidth="0" w:num="1">
            <w:col w:w="11280"/>
          </w:cols>
          <w:pgMar w:left="240" w:top="270" w:right="379" w:bottom="1440" w:gutter="0" w:footer="0" w:header="0"/>
        </w:sectPr>
      </w:pPr>
    </w:p>
    <w:bookmarkStart w:id="288" w:name="page289"/>
    <w:bookmarkEnd w:id="288"/>
    <w:p>
      <w:pPr>
        <w:ind w:left="-464" w:right="260" w:firstLine="921"/>
        <w:spacing w:after="0" w:line="277" w:lineRule="auto"/>
        <w:tabs>
          <w:tab w:leader="none" w:pos="713" w:val="left"/>
        </w:tabs>
        <w:numPr>
          <w:ilvl w:val="1"/>
          <w:numId w:val="24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shares of Common Stock so purchased from installments that have not vested as of the date of exercise will be subject to the purchase option in favor of the Company as described in the Company’s form of Early Exercise Stock Purchase Agreement;</w:t>
      </w:r>
    </w:p>
    <w:p>
      <w:pPr>
        <w:spacing w:after="0" w:line="62" w:lineRule="exact"/>
        <w:rPr>
          <w:rFonts w:ascii="Arial" w:cs="Arial" w:eastAsia="Arial" w:hAnsi="Arial"/>
          <w:sz w:val="18"/>
          <w:szCs w:val="18"/>
          <w:b w:val="1"/>
          <w:bCs w:val="1"/>
          <w:color w:val="auto"/>
        </w:rPr>
      </w:pPr>
    </w:p>
    <w:p>
      <w:pPr>
        <w:ind w:left="-464" w:right="420" w:firstLine="921"/>
        <w:spacing w:after="0" w:line="277" w:lineRule="auto"/>
        <w:tabs>
          <w:tab w:leader="none" w:pos="693" w:val="left"/>
        </w:tabs>
        <w:numPr>
          <w:ilvl w:val="1"/>
          <w:numId w:val="241"/>
        </w:numPr>
        <w:rPr>
          <w:rFonts w:ascii="Arial" w:cs="Arial" w:eastAsia="Arial" w:hAnsi="Arial"/>
          <w:sz w:val="18"/>
          <w:szCs w:val="18"/>
          <w:b w:val="1"/>
          <w:bCs w:val="1"/>
          <w:color w:val="auto"/>
        </w:rPr>
      </w:pPr>
      <w:r>
        <w:rPr>
          <w:rFonts w:ascii="Arial" w:cs="Arial" w:eastAsia="Arial" w:hAnsi="Arial"/>
          <w:sz w:val="18"/>
          <w:szCs w:val="18"/>
          <w:color w:val="auto"/>
        </w:rPr>
        <w:t>you will enter into the Company’s form of Early Exercise Stock Purchase Agreement with a vesting schedule that will result in the same vesting as if no early exercise had occurred; and</w:t>
      </w:r>
    </w:p>
    <w:p>
      <w:pPr>
        <w:spacing w:after="0" w:line="62" w:lineRule="exact"/>
        <w:rPr>
          <w:rFonts w:ascii="Arial" w:cs="Arial" w:eastAsia="Arial" w:hAnsi="Arial"/>
          <w:sz w:val="18"/>
          <w:szCs w:val="18"/>
          <w:b w:val="1"/>
          <w:bCs w:val="1"/>
          <w:color w:val="auto"/>
        </w:rPr>
      </w:pPr>
    </w:p>
    <w:p>
      <w:pPr>
        <w:ind w:left="-464" w:right="20" w:firstLine="921"/>
        <w:spacing w:after="0" w:line="279" w:lineRule="auto"/>
        <w:tabs>
          <w:tab w:leader="none" w:pos="713" w:val="left"/>
        </w:tabs>
        <w:numPr>
          <w:ilvl w:val="1"/>
          <w:numId w:val="241"/>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will be treated as Nonstatutory Stock Options.</w:t>
      </w:r>
    </w:p>
    <w:p>
      <w:pPr>
        <w:spacing w:after="0" w:line="59" w:lineRule="exact"/>
        <w:rPr>
          <w:rFonts w:ascii="Arial" w:cs="Arial" w:eastAsia="Arial" w:hAnsi="Arial"/>
          <w:sz w:val="17"/>
          <w:szCs w:val="17"/>
          <w:b w:val="1"/>
          <w:bCs w:val="1"/>
          <w:color w:val="auto"/>
        </w:rPr>
      </w:pPr>
    </w:p>
    <w:p>
      <w:pPr>
        <w:ind w:left="-464" w:firstLine="464"/>
        <w:spacing w:after="0" w:line="266" w:lineRule="auto"/>
        <w:tabs>
          <w:tab w:leader="none" w:pos="172"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color w:val="auto"/>
        </w:rPr>
        <w:t>. You must pay the full amount of the exercise price for the shares you wish to exercise. You may pay the exercise price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cash or by check, bank draft or money order payable to the Company or in any other manner </w:t>
      </w:r>
      <w:r>
        <w:rPr>
          <w:rFonts w:ascii="Arial" w:cs="Arial" w:eastAsia="Arial" w:hAnsi="Arial"/>
          <w:sz w:val="18"/>
          <w:szCs w:val="18"/>
          <w:b w:val="1"/>
          <w:bCs w:val="1"/>
          <w:i w:val="1"/>
          <w:iCs w:val="1"/>
          <w:color w:val="auto"/>
        </w:rPr>
        <w:t>permitted by your Grant Notice,</w:t>
      </w:r>
      <w:r>
        <w:rPr>
          <w:rFonts w:ascii="Arial" w:cs="Arial" w:eastAsia="Arial" w:hAnsi="Arial"/>
          <w:sz w:val="18"/>
          <w:szCs w:val="18"/>
          <w:color w:val="auto"/>
        </w:rPr>
        <w:t xml:space="preserve"> which may include one or more of the following:</w:t>
      </w:r>
    </w:p>
    <w:p>
      <w:pPr>
        <w:spacing w:after="0" w:line="72" w:lineRule="exact"/>
        <w:rPr>
          <w:rFonts w:ascii="Arial" w:cs="Arial" w:eastAsia="Arial" w:hAnsi="Arial"/>
          <w:sz w:val="18"/>
          <w:szCs w:val="18"/>
          <w:b w:val="1"/>
          <w:bCs w:val="1"/>
          <w:color w:val="auto"/>
        </w:rPr>
      </w:pPr>
    </w:p>
    <w:p>
      <w:pPr>
        <w:ind w:left="-464" w:right="40" w:firstLine="921"/>
        <w:spacing w:after="0" w:line="259" w:lineRule="auto"/>
        <w:tabs>
          <w:tab w:leader="none" w:pos="703"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78" w:lineRule="exact"/>
        <w:rPr>
          <w:rFonts w:ascii="Arial" w:cs="Arial" w:eastAsia="Arial" w:hAnsi="Arial"/>
          <w:sz w:val="18"/>
          <w:szCs w:val="18"/>
          <w:b w:val="1"/>
          <w:bCs w:val="1"/>
          <w:color w:val="auto"/>
        </w:rPr>
      </w:pPr>
    </w:p>
    <w:p>
      <w:pPr>
        <w:ind w:left="-464" w:right="20" w:firstLine="921"/>
        <w:spacing w:after="0" w:line="255" w:lineRule="auto"/>
        <w:tabs>
          <w:tab w:leader="none" w:pos="713"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85" w:lineRule="exact"/>
        <w:rPr>
          <w:rFonts w:ascii="Arial" w:cs="Arial" w:eastAsia="Arial" w:hAnsi="Arial"/>
          <w:sz w:val="18"/>
          <w:szCs w:val="18"/>
          <w:b w:val="1"/>
          <w:bCs w:val="1"/>
          <w:color w:val="auto"/>
        </w:rPr>
      </w:pPr>
    </w:p>
    <w:p>
      <w:pPr>
        <w:ind w:left="-464" w:right="40" w:firstLine="921"/>
        <w:spacing w:after="0" w:line="273" w:lineRule="auto"/>
        <w:tabs>
          <w:tab w:leader="none" w:pos="693" w:val="left"/>
        </w:tabs>
        <w:numPr>
          <w:ilvl w:val="1"/>
          <w:numId w:val="242"/>
        </w:numPr>
        <w:rPr>
          <w:rFonts w:ascii="Arial" w:cs="Arial" w:eastAsia="Arial" w:hAnsi="Arial"/>
          <w:sz w:val="17"/>
          <w:szCs w:val="17"/>
          <w:b w:val="1"/>
          <w:bCs w:val="1"/>
          <w:color w:val="auto"/>
        </w:rPr>
      </w:pPr>
      <w:r>
        <w:rPr>
          <w:rFonts w:ascii="Arial" w:cs="Arial" w:eastAsia="Arial" w:hAnsi="Arial"/>
          <w:sz w:val="17"/>
          <w:szCs w:val="17"/>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70" w:lineRule="exact"/>
        <w:rPr>
          <w:rFonts w:ascii="Arial" w:cs="Arial" w:eastAsia="Arial" w:hAnsi="Arial"/>
          <w:sz w:val="17"/>
          <w:szCs w:val="17"/>
          <w:b w:val="1"/>
          <w:bCs w:val="1"/>
          <w:color w:val="auto"/>
        </w:rPr>
      </w:pPr>
    </w:p>
    <w:p>
      <w:pPr>
        <w:ind w:left="716" w:hanging="259"/>
        <w:spacing w:after="0"/>
        <w:tabs>
          <w:tab w:leader="none" w:pos="716"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Pursuant to the following deferred payment alternative:</w:t>
      </w:r>
    </w:p>
    <w:p>
      <w:pPr>
        <w:sectPr>
          <w:pgSz w:w="11900" w:h="16838" w:orient="portrait"/>
          <w:cols w:equalWidth="0" w:num="1">
            <w:col w:w="10936"/>
          </w:cols>
          <w:pgMar w:left="704" w:top="274" w:right="259" w:bottom="1440" w:gutter="0" w:footer="0" w:header="0"/>
        </w:sectPr>
      </w:pPr>
    </w:p>
    <w:bookmarkStart w:id="289" w:name="page290"/>
    <w:bookmarkEnd w:id="289"/>
    <w:p>
      <w:pPr>
        <w:ind w:right="20" w:firstLine="1492"/>
        <w:spacing w:after="0" w:line="277" w:lineRule="auto"/>
        <w:tabs>
          <w:tab w:leader="none" w:pos="1698" w:val="left"/>
        </w:tabs>
        <w:numPr>
          <w:ilvl w:val="3"/>
          <w:numId w:val="24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less than one hundred percent (100%) of the aggregate exercise price, plus accrued interest, will be due four (4) years from date of exercise or, at the Company’s election, upon termination of your Continuous Service.</w:t>
      </w:r>
    </w:p>
    <w:p>
      <w:pPr>
        <w:spacing w:after="0" w:line="62" w:lineRule="exact"/>
        <w:rPr>
          <w:rFonts w:ascii="Arial" w:cs="Arial" w:eastAsia="Arial" w:hAnsi="Arial"/>
          <w:sz w:val="18"/>
          <w:szCs w:val="18"/>
          <w:b w:val="1"/>
          <w:bCs w:val="1"/>
          <w:color w:val="auto"/>
        </w:rPr>
      </w:pPr>
    </w:p>
    <w:p>
      <w:pPr>
        <w:jc w:val="both"/>
        <w:ind w:right="60" w:firstLine="1492"/>
        <w:spacing w:after="0" w:line="291" w:lineRule="auto"/>
        <w:tabs>
          <w:tab w:leader="none" w:pos="1748" w:val="left"/>
        </w:tabs>
        <w:numPr>
          <w:ilvl w:val="3"/>
          <w:numId w:val="243"/>
        </w:numPr>
        <w:rPr>
          <w:rFonts w:ascii="Arial" w:cs="Arial" w:eastAsia="Arial" w:hAnsi="Arial"/>
          <w:sz w:val="16"/>
          <w:szCs w:val="16"/>
          <w:b w:val="1"/>
          <w:bCs w:val="1"/>
          <w:color w:val="auto"/>
        </w:rPr>
      </w:pPr>
      <w:r>
        <w:rPr>
          <w:rFonts w:ascii="Arial" w:cs="Arial" w:eastAsia="Arial" w:hAnsi="Arial"/>
          <w:sz w:val="16"/>
          <w:szCs w:val="16"/>
          <w:color w:val="auto"/>
        </w:rPr>
        <w:t>Interest will be compounded at least annually and will be charged at the minimum rate of interest necessary to avoid (1) the treatment as interest, under any applicable provisions of the Code, of any amounts other than amounts stated to be interest under the deferred payment arrangement and</w:t>
      </w:r>
    </w:p>
    <w:p>
      <w:pPr>
        <w:ind w:left="260" w:hanging="252"/>
        <w:spacing w:after="0"/>
        <w:tabs>
          <w:tab w:leader="none" w:pos="2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classification of your option as a liability for financial accounting purposes.</w:t>
      </w:r>
    </w:p>
    <w:p>
      <w:pPr>
        <w:spacing w:after="0" w:line="102" w:lineRule="exact"/>
        <w:rPr>
          <w:rFonts w:ascii="Arial" w:cs="Arial" w:eastAsia="Arial" w:hAnsi="Arial"/>
          <w:sz w:val="18"/>
          <w:szCs w:val="18"/>
          <w:color w:val="auto"/>
        </w:rPr>
      </w:pPr>
    </w:p>
    <w:p>
      <w:pPr>
        <w:ind w:firstLine="1492"/>
        <w:spacing w:after="0" w:line="279" w:lineRule="auto"/>
        <w:tabs>
          <w:tab w:leader="none" w:pos="1798" w:val="left"/>
        </w:tabs>
        <w:numPr>
          <w:ilvl w:val="3"/>
          <w:numId w:val="244"/>
        </w:numPr>
        <w:rPr>
          <w:rFonts w:ascii="Arial" w:cs="Arial" w:eastAsia="Arial" w:hAnsi="Arial"/>
          <w:sz w:val="17"/>
          <w:szCs w:val="17"/>
          <w:b w:val="1"/>
          <w:bCs w:val="1"/>
          <w:color w:val="auto"/>
        </w:rPr>
      </w:pPr>
      <w:r>
        <w:rPr>
          <w:rFonts w:ascii="Arial" w:cs="Arial" w:eastAsia="Arial" w:hAnsi="Arial"/>
          <w:sz w:val="17"/>
          <w:szCs w:val="17"/>
          <w:color w:val="auto"/>
        </w:rPr>
        <w:t>In order to elect the deferred payment alternative, you must, as a part of your written notice of exercise, give notice of the election of this payment alternative and, in order to secure the payment of the deferred exercise price to the Company hereunder, if the Company so requests, you must tender to the Company a promissory note and a pledge agreement covering the purchased shares of Common Stock, both in form and substance satisfactory to the Company, or such other or additional documentation as the Company may request.</w:t>
      </w:r>
    </w:p>
    <w:p>
      <w:pPr>
        <w:spacing w:after="0" w:line="59" w:lineRule="exact"/>
        <w:rPr>
          <w:rFonts w:ascii="Arial" w:cs="Arial" w:eastAsia="Arial" w:hAnsi="Arial"/>
          <w:sz w:val="17"/>
          <w:szCs w:val="17"/>
          <w:b w:val="1"/>
          <w:bCs w:val="1"/>
          <w:color w:val="auto"/>
        </w:rPr>
      </w:pPr>
    </w:p>
    <w:p>
      <w:pPr>
        <w:ind w:left="640" w:hanging="176"/>
        <w:spacing w:after="0"/>
        <w:tabs>
          <w:tab w:leader="none" w:pos="640"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color w:val="auto"/>
        </w:rPr>
        <w:t>. You may exercise your option only for whole shares of Common Stock.</w:t>
      </w:r>
    </w:p>
    <w:p>
      <w:pPr>
        <w:spacing w:after="0" w:line="117" w:lineRule="exact"/>
        <w:rPr>
          <w:rFonts w:ascii="Arial" w:cs="Arial" w:eastAsia="Arial" w:hAnsi="Arial"/>
          <w:sz w:val="18"/>
          <w:szCs w:val="18"/>
          <w:b w:val="1"/>
          <w:bCs w:val="1"/>
          <w:color w:val="auto"/>
        </w:rPr>
      </w:pPr>
    </w:p>
    <w:p>
      <w:pPr>
        <w:ind w:right="120" w:firstLine="464"/>
        <w:spacing w:after="0" w:line="298" w:lineRule="auto"/>
        <w:tabs>
          <w:tab w:leader="none" w:pos="636" w:val="left"/>
        </w:tabs>
        <w:numPr>
          <w:ilvl w:val="1"/>
          <w:numId w:val="244"/>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ECURITIES</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OMPLIANCE</w:t>
      </w:r>
      <w:r>
        <w:rPr>
          <w:rFonts w:ascii="Arial" w:cs="Arial" w:eastAsia="Arial" w:hAnsi="Arial"/>
          <w:sz w:val="16"/>
          <w:szCs w:val="16"/>
          <w:color w:val="auto"/>
        </w:rPr>
        <w:t>. In no event may you exercise your option unless the shares of Common Stock issuable upon exercise are then</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46" w:lineRule="exact"/>
        <w:rPr>
          <w:rFonts w:ascii="Arial" w:cs="Arial" w:eastAsia="Arial" w:hAnsi="Arial"/>
          <w:sz w:val="16"/>
          <w:szCs w:val="16"/>
          <w:b w:val="1"/>
          <w:bCs w:val="1"/>
          <w:color w:val="auto"/>
        </w:rPr>
      </w:pPr>
    </w:p>
    <w:p>
      <w:pPr>
        <w:ind w:right="480" w:firstLine="464"/>
        <w:spacing w:after="0" w:line="282" w:lineRule="auto"/>
        <w:tabs>
          <w:tab w:leader="none" w:pos="636"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w:t>
      </w:r>
      <w:r>
        <w:rPr>
          <w:rFonts w:ascii="Arial" w:cs="Arial" w:eastAsia="Arial" w:hAnsi="Arial"/>
          <w:sz w:val="18"/>
          <w:szCs w:val="18"/>
          <w:color w:val="auto"/>
        </w:rPr>
        <w:t>. You may not exercise your option before the Date of Grant or after the expiration of the option’s term. The term of your option expires,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5(h) of the Plan, upon the earliest of the following:</w:t>
      </w:r>
    </w:p>
    <w:p>
      <w:pPr>
        <w:spacing w:after="0" w:line="57" w:lineRule="exact"/>
        <w:rPr>
          <w:rFonts w:ascii="Arial" w:cs="Arial" w:eastAsia="Arial" w:hAnsi="Arial"/>
          <w:sz w:val="18"/>
          <w:szCs w:val="18"/>
          <w:b w:val="1"/>
          <w:bCs w:val="1"/>
          <w:color w:val="auto"/>
        </w:rPr>
      </w:pPr>
    </w:p>
    <w:p>
      <w:pPr>
        <w:ind w:left="1180" w:hanging="259"/>
        <w:spacing w:after="0"/>
        <w:tabs>
          <w:tab w:leader="none" w:pos="1180" w:val="left"/>
        </w:tabs>
        <w:numPr>
          <w:ilvl w:val="2"/>
          <w:numId w:val="244"/>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117" w:lineRule="exact"/>
        <w:rPr>
          <w:rFonts w:ascii="Arial" w:cs="Arial" w:eastAsia="Arial" w:hAnsi="Arial"/>
          <w:sz w:val="18"/>
          <w:szCs w:val="18"/>
          <w:b w:val="1"/>
          <w:bCs w:val="1"/>
          <w:color w:val="auto"/>
        </w:rPr>
      </w:pPr>
    </w:p>
    <w:p>
      <w:pPr>
        <w:ind w:right="140" w:firstLine="921"/>
        <w:spacing w:after="0" w:line="286" w:lineRule="auto"/>
        <w:tabs>
          <w:tab w:leader="none" w:pos="1178" w:val="left"/>
        </w:tabs>
        <w:numPr>
          <w:ilvl w:val="2"/>
          <w:numId w:val="244"/>
        </w:numPr>
        <w:rPr>
          <w:rFonts w:ascii="Arial" w:cs="Arial" w:eastAsia="Arial" w:hAnsi="Arial"/>
          <w:sz w:val="16"/>
          <w:szCs w:val="16"/>
          <w:b w:val="1"/>
          <w:bCs w:val="1"/>
          <w:color w:val="auto"/>
        </w:rPr>
      </w:pPr>
      <w:r>
        <w:rPr>
          <w:rFonts w:ascii="Arial" w:cs="Arial" w:eastAsia="Arial" w:hAnsi="Arial"/>
          <w:sz w:val="16"/>
          <w:szCs w:val="16"/>
          <w:color w:val="auto"/>
        </w:rPr>
        <w:t xml:space="preserve">three (3) months after the termination of your Continuous Service for any reason other than Cause, your Disability or your death (except as otherwise provided in Section 8(d)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w:t>
      </w:r>
    </w:p>
    <w:p>
      <w:pPr>
        <w:spacing w:after="0" w:line="1" w:lineRule="exact"/>
        <w:rPr>
          <w:rFonts w:ascii="Arial" w:cs="Arial" w:eastAsia="Arial" w:hAnsi="Arial"/>
          <w:sz w:val="16"/>
          <w:szCs w:val="16"/>
          <w:b w:val="1"/>
          <w:bCs w:val="1"/>
          <w:color w:val="auto"/>
        </w:rPr>
      </w:pPr>
    </w:p>
    <w:p>
      <w:pPr>
        <w:ind w:right="8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81" w:lineRule="exact"/>
        <w:rPr>
          <w:rFonts w:ascii="Arial" w:cs="Arial" w:eastAsia="Arial" w:hAnsi="Arial"/>
          <w:sz w:val="16"/>
          <w:szCs w:val="16"/>
          <w:b w:val="1"/>
          <w:bCs w:val="1"/>
          <w:color w:val="auto"/>
        </w:rPr>
      </w:pPr>
    </w:p>
    <w:p>
      <w:pPr>
        <w:ind w:left="1160" w:hanging="239"/>
        <w:spacing w:after="0"/>
        <w:tabs>
          <w:tab w:leader="none" w:pos="1160" w:val="left"/>
        </w:tabs>
        <w:numPr>
          <w:ilvl w:val="2"/>
          <w:numId w:val="244"/>
        </w:numPr>
        <w:rPr>
          <w:rFonts w:ascii="Arial" w:cs="Arial" w:eastAsia="Arial" w:hAnsi="Arial"/>
          <w:sz w:val="17"/>
          <w:szCs w:val="17"/>
          <w:b w:val="1"/>
          <w:bCs w:val="1"/>
          <w:color w:val="auto"/>
        </w:rPr>
      </w:pPr>
      <w:r>
        <w:rPr>
          <w:rFonts w:ascii="Arial" w:cs="Arial" w:eastAsia="Arial" w:hAnsi="Arial"/>
          <w:sz w:val="17"/>
          <w:szCs w:val="17"/>
          <w:color w:val="auto"/>
        </w:rPr>
        <w:t>twelve (12) months after the termination of your Continuous Service due to your Disability (except as otherwise provided in Section 8(d))</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below;</w:t>
      </w:r>
    </w:p>
    <w:p>
      <w:pPr>
        <w:sectPr>
          <w:pgSz w:w="11900" w:h="16838" w:orient="portrait"/>
          <w:cols w:equalWidth="0" w:num="1">
            <w:col w:w="11420"/>
          </w:cols>
          <w:pgMar w:left="240" w:top="274" w:right="239" w:bottom="1440" w:gutter="0" w:footer="0" w:header="0"/>
        </w:sectPr>
      </w:pPr>
    </w:p>
    <w:bookmarkStart w:id="290" w:name="page291"/>
    <w:bookmarkEnd w:id="290"/>
    <w:p>
      <w:pPr>
        <w:ind w:right="420" w:firstLine="921"/>
        <w:spacing w:after="0" w:line="277" w:lineRule="auto"/>
        <w:tabs>
          <w:tab w:leader="none" w:pos="1178"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eighteen (18) months after your death if you die either during your Continuous Service or within three (3) months after your Continuous Service terminates for any reason other than Cause;</w:t>
      </w:r>
    </w:p>
    <w:p>
      <w:pPr>
        <w:spacing w:after="0" w:line="62" w:lineRule="exact"/>
        <w:rPr>
          <w:rFonts w:ascii="Arial" w:cs="Arial" w:eastAsia="Arial" w:hAnsi="Arial"/>
          <w:sz w:val="18"/>
          <w:szCs w:val="18"/>
          <w:b w:val="1"/>
          <w:bCs w:val="1"/>
          <w:color w:val="auto"/>
        </w:rPr>
      </w:pPr>
    </w:p>
    <w:p>
      <w:pPr>
        <w:ind w:left="1160" w:hanging="239"/>
        <w:spacing w:after="0"/>
        <w:tabs>
          <w:tab w:leader="none" w:pos="1160"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117" w:lineRule="exact"/>
        <w:rPr>
          <w:rFonts w:ascii="Arial" w:cs="Arial" w:eastAsia="Arial" w:hAnsi="Arial"/>
          <w:sz w:val="18"/>
          <w:szCs w:val="18"/>
          <w:b w:val="1"/>
          <w:bCs w:val="1"/>
          <w:color w:val="auto"/>
        </w:rPr>
      </w:pPr>
    </w:p>
    <w:p>
      <w:pPr>
        <w:ind w:left="1140" w:hanging="219"/>
        <w:spacing w:after="0"/>
        <w:tabs>
          <w:tab w:leader="none" w:pos="1140"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225"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66" w:lineRule="exact"/>
        <w:rPr>
          <w:sz w:val="20"/>
          <w:szCs w:val="20"/>
          <w:color w:val="auto"/>
        </w:rPr>
      </w:pPr>
    </w:p>
    <w:p>
      <w:pPr>
        <w:ind w:left="640" w:hanging="176"/>
        <w:spacing w:after="0"/>
        <w:tabs>
          <w:tab w:leader="none" w:pos="640"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40" w:firstLine="921"/>
        <w:spacing w:after="0" w:line="279" w:lineRule="auto"/>
        <w:tabs>
          <w:tab w:leader="none" w:pos="1168" w:val="left"/>
        </w:tabs>
        <w:numPr>
          <w:ilvl w:val="2"/>
          <w:numId w:val="246"/>
        </w:numPr>
        <w:rPr>
          <w:rFonts w:ascii="Arial" w:cs="Arial" w:eastAsia="Arial" w:hAnsi="Arial"/>
          <w:sz w:val="17"/>
          <w:szCs w:val="17"/>
          <w:b w:val="1"/>
          <w:bCs w:val="1"/>
          <w:color w:val="auto"/>
        </w:rPr>
      </w:pPr>
      <w:r>
        <w:rPr>
          <w:rFonts w:ascii="Arial" w:cs="Arial" w:eastAsia="Arial" w:hAnsi="Arial"/>
          <w:sz w:val="17"/>
          <w:szCs w:val="17"/>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63" w:lineRule="exact"/>
        <w:rPr>
          <w:rFonts w:ascii="Arial" w:cs="Arial" w:eastAsia="Arial" w:hAnsi="Arial"/>
          <w:sz w:val="17"/>
          <w:szCs w:val="17"/>
          <w:b w:val="1"/>
          <w:bCs w:val="1"/>
          <w:color w:val="auto"/>
        </w:rPr>
      </w:pPr>
    </w:p>
    <w:p>
      <w:pPr>
        <w:ind w:right="40" w:firstLine="921"/>
        <w:spacing w:after="0" w:line="259" w:lineRule="auto"/>
        <w:tabs>
          <w:tab w:leader="none" w:pos="1178" w:val="left"/>
        </w:tabs>
        <w:numPr>
          <w:ilvl w:val="2"/>
          <w:numId w:val="246"/>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78" w:lineRule="exact"/>
        <w:rPr>
          <w:rFonts w:ascii="Arial" w:cs="Arial" w:eastAsia="Arial" w:hAnsi="Arial"/>
          <w:sz w:val="18"/>
          <w:szCs w:val="18"/>
          <w:b w:val="1"/>
          <w:bCs w:val="1"/>
          <w:color w:val="auto"/>
        </w:rPr>
      </w:pPr>
    </w:p>
    <w:p>
      <w:pPr>
        <w:ind w:left="1160" w:hanging="239"/>
        <w:spacing w:after="0"/>
        <w:tabs>
          <w:tab w:leader="none" w:pos="1160" w:val="left"/>
        </w:tabs>
        <w:numPr>
          <w:ilvl w:val="2"/>
          <w:numId w:val="246"/>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by exercising your option you agree that you will notify the Company in writing within fifteen</w:t>
      </w:r>
    </w:p>
    <w:p>
      <w:pPr>
        <w:spacing w:after="0" w:line="34" w:lineRule="exact"/>
        <w:rPr>
          <w:rFonts w:ascii="Arial" w:cs="Arial" w:eastAsia="Arial" w:hAnsi="Arial"/>
          <w:sz w:val="17"/>
          <w:szCs w:val="17"/>
          <w:b w:val="1"/>
          <w:bCs w:val="1"/>
          <w:color w:val="auto"/>
        </w:rPr>
      </w:pPr>
    </w:p>
    <w:p>
      <w:pPr>
        <w:ind w:right="20" w:firstLine="8"/>
        <w:spacing w:after="0" w:line="261" w:lineRule="auto"/>
        <w:tabs>
          <w:tab w:leader="none" w:pos="34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spacing w:after="0" w:line="75" w:lineRule="exact"/>
        <w:rPr>
          <w:rFonts w:ascii="Arial" w:cs="Arial" w:eastAsia="Arial" w:hAnsi="Arial"/>
          <w:sz w:val="18"/>
          <w:szCs w:val="18"/>
          <w:color w:val="auto"/>
        </w:rPr>
      </w:pPr>
    </w:p>
    <w:p>
      <w:pPr>
        <w:ind w:firstLine="921"/>
        <w:spacing w:after="0" w:line="254" w:lineRule="auto"/>
        <w:tabs>
          <w:tab w:leader="none" w:pos="1178" w:val="left"/>
        </w:tabs>
        <w:numPr>
          <w:ilvl w:val="2"/>
          <w:numId w:val="247"/>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2711 or NYSE Member Rule 472 or any successor or similar rule or regulation (the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w:t>
      </w:r>
    </w:p>
    <w:p>
      <w:pPr>
        <w:sectPr>
          <w:pgSz w:w="11900" w:h="16838" w:orient="portrait"/>
          <w:cols w:equalWidth="0" w:num="1">
            <w:col w:w="11420"/>
          </w:cols>
          <w:pgMar w:left="240" w:top="274" w:right="239" w:bottom="1440" w:gutter="0" w:footer="0" w:header="0"/>
        </w:sectPr>
      </w:pPr>
    </w:p>
    <w:bookmarkStart w:id="291" w:name="page292"/>
    <w:bookmarkEnd w:id="29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w:t>
      </w:r>
    </w:p>
    <w:p>
      <w:pPr>
        <w:spacing w:after="0" w:line="75" w:lineRule="exact"/>
        <w:rPr>
          <w:sz w:val="20"/>
          <w:szCs w:val="20"/>
          <w:color w:val="auto"/>
        </w:rPr>
      </w:pPr>
    </w:p>
    <w:p>
      <w:pPr>
        <w:ind w:right="140" w:firstLine="464"/>
        <w:spacing w:after="0" w:line="282" w:lineRule="auto"/>
        <w:tabs>
          <w:tab w:leader="none" w:pos="726"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RANSFERABILITY</w:t>
      </w:r>
      <w:r>
        <w:rPr>
          <w:rFonts w:ascii="Arial" w:cs="Arial" w:eastAsia="Arial" w:hAnsi="Arial"/>
          <w:sz w:val="18"/>
          <w:szCs w:val="18"/>
          <w:color w:val="auto"/>
        </w:rPr>
        <w:t>. Except as otherwise provided in this Section 10, your option is not transferable, except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is exercisable during your life only by you.</w:t>
      </w:r>
    </w:p>
    <w:p>
      <w:pPr>
        <w:spacing w:after="0" w:line="53" w:lineRule="exact"/>
        <w:rPr>
          <w:rFonts w:ascii="Arial" w:cs="Arial" w:eastAsia="Arial" w:hAnsi="Arial"/>
          <w:sz w:val="18"/>
          <w:szCs w:val="18"/>
          <w:b w:val="1"/>
          <w:bCs w:val="1"/>
          <w:color w:val="auto"/>
        </w:rPr>
      </w:pPr>
    </w:p>
    <w:p>
      <w:pPr>
        <w:ind w:right="40" w:firstLine="921"/>
        <w:spacing w:after="0" w:line="266" w:lineRule="auto"/>
        <w:tabs>
          <w:tab w:leader="none" w:pos="1168"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Certain Trusts</w:t>
      </w:r>
      <w:r>
        <w:rPr>
          <w:rFonts w:ascii="Arial" w:cs="Arial" w:eastAsia="Arial" w:hAnsi="Arial"/>
          <w:sz w:val="18"/>
          <w:szCs w:val="18"/>
          <w:color w:val="auto"/>
        </w:rPr>
        <w:t>. Upon receiving written permission from the Board or its duly authorized designee, you may transfer your option to a trust if</w:t>
      </w:r>
      <w:r>
        <w:rPr>
          <w:rFonts w:ascii="Arial" w:cs="Arial" w:eastAsia="Arial" w:hAnsi="Arial"/>
          <w:sz w:val="18"/>
          <w:szCs w:val="18"/>
          <w:b w:val="1"/>
          <w:bCs w:val="1"/>
          <w:color w:val="auto"/>
        </w:rPr>
        <w:t xml:space="preserve"> </w:t>
      </w:r>
      <w:r>
        <w:rPr>
          <w:rFonts w:ascii="Arial" w:cs="Arial" w:eastAsia="Arial" w:hAnsi="Arial"/>
          <w:sz w:val="18"/>
          <w:szCs w:val="18"/>
          <w:color w:val="auto"/>
        </w:rPr>
        <w:t>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68" w:lineRule="exact"/>
        <w:rPr>
          <w:rFonts w:ascii="Arial" w:cs="Arial" w:eastAsia="Arial" w:hAnsi="Arial"/>
          <w:sz w:val="18"/>
          <w:szCs w:val="18"/>
          <w:b w:val="1"/>
          <w:bCs w:val="1"/>
          <w:color w:val="auto"/>
        </w:rPr>
      </w:pPr>
    </w:p>
    <w:p>
      <w:pPr>
        <w:ind w:right="20" w:firstLine="921"/>
        <w:spacing w:after="0" w:line="273" w:lineRule="auto"/>
        <w:tabs>
          <w:tab w:leader="none" w:pos="1178" w:val="left"/>
        </w:tabs>
        <w:numPr>
          <w:ilvl w:val="1"/>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Domestic Relations Orders</w:t>
      </w:r>
      <w:r>
        <w:rPr>
          <w:rFonts w:ascii="Arial" w:cs="Arial" w:eastAsia="Arial" w:hAnsi="Arial"/>
          <w:sz w:val="17"/>
          <w:szCs w:val="17"/>
          <w:color w:val="auto"/>
        </w:rPr>
        <w:t>. Upon receiving written permission from the Board or its duly authorized designee, and provided that you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64" w:lineRule="exact"/>
        <w:rPr>
          <w:rFonts w:ascii="Arial" w:cs="Arial" w:eastAsia="Arial" w:hAnsi="Arial"/>
          <w:sz w:val="17"/>
          <w:szCs w:val="17"/>
          <w:b w:val="1"/>
          <w:bCs w:val="1"/>
          <w:color w:val="auto"/>
        </w:rPr>
      </w:pPr>
    </w:p>
    <w:p>
      <w:pPr>
        <w:ind w:right="60" w:firstLine="921"/>
        <w:spacing w:after="0" w:line="258" w:lineRule="auto"/>
        <w:tabs>
          <w:tab w:leader="none" w:pos="1157"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Upon receiving written permission from the Board or its duly authorized designee, you may, by delivering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75" w:lineRule="exact"/>
        <w:rPr>
          <w:rFonts w:ascii="Arial" w:cs="Arial" w:eastAsia="Arial" w:hAnsi="Arial"/>
          <w:sz w:val="18"/>
          <w:szCs w:val="18"/>
          <w:b w:val="1"/>
          <w:bCs w:val="1"/>
          <w:color w:val="auto"/>
        </w:rPr>
      </w:pPr>
    </w:p>
    <w:p>
      <w:pPr>
        <w:ind w:right="100" w:firstLine="464"/>
        <w:spacing w:after="0" w:line="258" w:lineRule="auto"/>
        <w:tabs>
          <w:tab w:leader="none" w:pos="716"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IGHT OF</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IRST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EFUSAL</w:t>
      </w:r>
      <w:r>
        <w:rPr>
          <w:rFonts w:ascii="Arial" w:cs="Arial" w:eastAsia="Arial" w:hAnsi="Arial"/>
          <w:sz w:val="18"/>
          <w:szCs w:val="18"/>
          <w:color w:val="auto"/>
        </w:rPr>
        <w:t>. Shares of Common Stock that you acquire upon exercise of your option are subject to any right of first refusal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 described in the Company’s bylaws in effect at such time the Company elects to exercise its right;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there is no right of first refusal described in the Company’s bylaws at such time, the right of first refusal described below will apply. The Company’s right of first refusal will expire on the first date upon which any security of the Company is listed (or approved for listing) upon notice of issuance on a national securities exchange or quotation system (the “</w:t>
      </w:r>
      <w:r>
        <w:rPr>
          <w:rFonts w:ascii="Arial" w:cs="Arial" w:eastAsia="Arial" w:hAnsi="Arial"/>
          <w:sz w:val="18"/>
          <w:szCs w:val="18"/>
          <w:b w:val="1"/>
          <w:bCs w:val="1"/>
          <w:i w:val="1"/>
          <w:iCs w:val="1"/>
          <w:color w:val="auto"/>
        </w:rPr>
        <w:t>Listing Date</w:t>
      </w:r>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ind w:right="420" w:firstLine="921"/>
        <w:spacing w:after="0" w:line="277" w:lineRule="auto"/>
        <w:tabs>
          <w:tab w:leader="none" w:pos="1168" w:val="left"/>
        </w:tabs>
        <w:numPr>
          <w:ilvl w:val="1"/>
          <w:numId w:val="248"/>
        </w:numPr>
        <w:rPr>
          <w:rFonts w:ascii="Arial" w:cs="Arial" w:eastAsia="Arial" w:hAnsi="Arial"/>
          <w:sz w:val="18"/>
          <w:szCs w:val="18"/>
          <w:b w:val="1"/>
          <w:bCs w:val="1"/>
          <w:color w:val="auto"/>
        </w:rPr>
      </w:pPr>
      <w:r>
        <w:rPr>
          <w:rFonts w:ascii="Arial" w:cs="Arial" w:eastAsia="Arial" w:hAnsi="Arial"/>
          <w:sz w:val="18"/>
          <w:szCs w:val="18"/>
          <w:color w:val="auto"/>
        </w:rPr>
        <w:t>Prior to the Listing Date, you may not validly Transfer (as defined below) any shares of Common Stock acquired upon exercise of your option, or any interest in such shares, unless such Transfer is made in compliance with the following provisions:</w:t>
      </w:r>
    </w:p>
    <w:p>
      <w:pPr>
        <w:spacing w:after="0" w:line="62" w:lineRule="exact"/>
        <w:rPr>
          <w:rFonts w:ascii="Arial" w:cs="Arial" w:eastAsia="Arial" w:hAnsi="Arial"/>
          <w:sz w:val="18"/>
          <w:szCs w:val="18"/>
          <w:b w:val="1"/>
          <w:bCs w:val="1"/>
          <w:color w:val="auto"/>
        </w:rPr>
      </w:pPr>
    </w:p>
    <w:p>
      <w:pPr>
        <w:ind w:firstLine="1492"/>
        <w:spacing w:after="0" w:line="259" w:lineRule="auto"/>
        <w:tabs>
          <w:tab w:leader="none" w:pos="1698" w:val="left"/>
        </w:tabs>
        <w:numPr>
          <w:ilvl w:val="2"/>
          <w:numId w:val="248"/>
        </w:numPr>
        <w:rPr>
          <w:rFonts w:ascii="Arial" w:cs="Arial" w:eastAsia="Arial" w:hAnsi="Arial"/>
          <w:sz w:val="18"/>
          <w:szCs w:val="18"/>
          <w:b w:val="1"/>
          <w:bCs w:val="1"/>
          <w:color w:val="auto"/>
        </w:rPr>
      </w:pPr>
      <w:r>
        <w:rPr>
          <w:rFonts w:ascii="Arial" w:cs="Arial" w:eastAsia="Arial" w:hAnsi="Arial"/>
          <w:sz w:val="18"/>
          <w:szCs w:val="18"/>
          <w:color w:val="auto"/>
        </w:rPr>
        <w:t>Before there can be a valid Transfer of any shares of Common Stock or any interest therein, the record holder of the shares of Common Stock to be transferred (the “</w:t>
      </w:r>
      <w:r>
        <w:rPr>
          <w:rFonts w:ascii="Arial" w:cs="Arial" w:eastAsia="Arial" w:hAnsi="Arial"/>
          <w:sz w:val="18"/>
          <w:szCs w:val="18"/>
          <w:b w:val="1"/>
          <w:bCs w:val="1"/>
          <w:i w:val="1"/>
          <w:iCs w:val="1"/>
          <w:color w:val="auto"/>
        </w:rPr>
        <w:t>Offered Shares</w:t>
      </w:r>
      <w:r>
        <w:rPr>
          <w:rFonts w:ascii="Arial" w:cs="Arial" w:eastAsia="Arial" w:hAnsi="Arial"/>
          <w:sz w:val="18"/>
          <w:szCs w:val="18"/>
          <w:color w:val="auto"/>
        </w:rPr>
        <w:t>”) will give written notice (by registered or certified mail) to the Company. Such notice will specify the identity of the proposed transferee, the cash price offered for the Offered Shares by the proposed transferee (or, if the proposed Transfer is one in which the holder will not receive cash, such as</w:t>
      </w:r>
    </w:p>
    <w:p>
      <w:pPr>
        <w:sectPr>
          <w:pgSz w:w="11900" w:h="16838" w:orient="portrait"/>
          <w:cols w:equalWidth="0" w:num="1">
            <w:col w:w="11360"/>
          </w:cols>
          <w:pgMar w:left="240" w:top="274" w:right="299" w:bottom="1440" w:gutter="0" w:footer="0" w:header="0"/>
        </w:sectPr>
      </w:pPr>
    </w:p>
    <w:bookmarkStart w:id="292" w:name="page293"/>
    <w:bookmarkEnd w:id="292"/>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involuntary transfer, gift, donation or pledge, the holder will state that no purchase price is being proposed), and the other terms and conditions of the proposed Transfer. The date such notice is mailed will be hereinafter referred to as the “</w:t>
      </w:r>
      <w:r>
        <w:rPr>
          <w:rFonts w:ascii="Arial" w:cs="Arial" w:eastAsia="Arial" w:hAnsi="Arial"/>
          <w:sz w:val="18"/>
          <w:szCs w:val="18"/>
          <w:b w:val="1"/>
          <w:bCs w:val="1"/>
          <w:i w:val="1"/>
          <w:iCs w:val="1"/>
          <w:color w:val="auto"/>
        </w:rPr>
        <w:t>Notice Date</w:t>
      </w:r>
      <w:r>
        <w:rPr>
          <w:rFonts w:ascii="Arial" w:cs="Arial" w:eastAsia="Arial" w:hAnsi="Arial"/>
          <w:sz w:val="18"/>
          <w:szCs w:val="18"/>
          <w:color w:val="auto"/>
        </w:rPr>
        <w:t>” and the record holder of the Offered Shares will be hereinafter referred to as the “</w:t>
      </w:r>
      <w:r>
        <w:rPr>
          <w:rFonts w:ascii="Arial" w:cs="Arial" w:eastAsia="Arial" w:hAnsi="Arial"/>
          <w:sz w:val="18"/>
          <w:szCs w:val="18"/>
          <w:b w:val="1"/>
          <w:bCs w:val="1"/>
          <w:i w:val="1"/>
          <w:iCs w:val="1"/>
          <w:color w:val="auto"/>
        </w:rPr>
        <w:t>Offeror</w:t>
      </w:r>
      <w:r>
        <w:rPr>
          <w:rFonts w:ascii="Arial" w:cs="Arial" w:eastAsia="Arial" w:hAnsi="Arial"/>
          <w:sz w:val="18"/>
          <w:szCs w:val="18"/>
          <w:color w:val="auto"/>
        </w:rPr>
        <w:t>.” If, from time to time, there is any stock dividend, stock split or other change in the character or amount of any of the outstanding Common Stock which is subject to the provisions of your option, then in such event any and all new, substituted or additional securities to which you are entitled by reason of your ownership of the shares of Common Stock acquired upon exercise of your option will be immediately subject to the Company’s Right of First Refusal (as defined below) with the same force and effect as the shares subject to the Right of First Refusal immediately before such event.</w:t>
      </w:r>
    </w:p>
    <w:p>
      <w:pPr>
        <w:spacing w:after="0" w:line="81" w:lineRule="exact"/>
        <w:rPr>
          <w:sz w:val="20"/>
          <w:szCs w:val="20"/>
          <w:color w:val="auto"/>
        </w:rPr>
      </w:pPr>
    </w:p>
    <w:p>
      <w:pPr>
        <w:ind w:firstLine="1492"/>
        <w:spacing w:after="0" w:line="255" w:lineRule="auto"/>
        <w:tabs>
          <w:tab w:leader="none" w:pos="1748"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For a period of thirty (30) calendar days after the Notice Date, or such longer period as may be required to avoid the classification of your option as a liability for financial accounting purposes, the Company will have the option to purchase all (but not less than all) of the Offered Shares at the purchase price and on the terms set forth in Section 11(a)(iii) (the Company’s “</w:t>
      </w:r>
      <w:r>
        <w:rPr>
          <w:rFonts w:ascii="Arial" w:cs="Arial" w:eastAsia="Arial" w:hAnsi="Arial"/>
          <w:sz w:val="18"/>
          <w:szCs w:val="18"/>
          <w:b w:val="1"/>
          <w:bCs w:val="1"/>
          <w:i w:val="1"/>
          <w:iCs w:val="1"/>
          <w:color w:val="auto"/>
        </w:rPr>
        <w:t>Right of First Refusal</w:t>
      </w:r>
      <w:r>
        <w:rPr>
          <w:rFonts w:ascii="Arial" w:cs="Arial" w:eastAsia="Arial" w:hAnsi="Arial"/>
          <w:sz w:val="18"/>
          <w:szCs w:val="18"/>
          <w:color w:val="auto"/>
        </w:rPr>
        <w:t>”). In the event that the proposed Transfer is one involving no payment of a purchase price, the purchase price will be deemed to be the Fair Market Value of the Offered Shares as determined in good faith by the Board in its discretion. The Company may exercise its Right of First Refusal by mailing (by registered or certified mail) written notice of exercise of its Right of First Refusal to the Offeror prior to the end of said thirty (30) days (including any extension required to avoid classification of the option as a liability for financial accounting purposes).</w:t>
      </w:r>
    </w:p>
    <w:p>
      <w:pPr>
        <w:spacing w:after="0" w:line="81" w:lineRule="exact"/>
        <w:rPr>
          <w:rFonts w:ascii="Arial" w:cs="Arial" w:eastAsia="Arial" w:hAnsi="Arial"/>
          <w:sz w:val="18"/>
          <w:szCs w:val="18"/>
          <w:b w:val="1"/>
          <w:bCs w:val="1"/>
          <w:color w:val="auto"/>
        </w:rPr>
      </w:pPr>
    </w:p>
    <w:p>
      <w:pPr>
        <w:ind w:right="220" w:firstLine="1492"/>
        <w:spacing w:after="0" w:line="273" w:lineRule="auto"/>
        <w:tabs>
          <w:tab w:leader="none" w:pos="1798" w:val="left"/>
        </w:tabs>
        <w:numPr>
          <w:ilvl w:val="1"/>
          <w:numId w:val="249"/>
        </w:numPr>
        <w:rPr>
          <w:rFonts w:ascii="Arial" w:cs="Arial" w:eastAsia="Arial" w:hAnsi="Arial"/>
          <w:sz w:val="17"/>
          <w:szCs w:val="17"/>
          <w:b w:val="1"/>
          <w:bCs w:val="1"/>
          <w:color w:val="auto"/>
        </w:rPr>
      </w:pPr>
      <w:r>
        <w:rPr>
          <w:rFonts w:ascii="Arial" w:cs="Arial" w:eastAsia="Arial" w:hAnsi="Arial"/>
          <w:sz w:val="17"/>
          <w:szCs w:val="17"/>
          <w:color w:val="auto"/>
        </w:rPr>
        <w:t>The price at which the Company may purchase the Offered Shares pursuant to the exercise of its Right of First Refusal will be the cash price offered for the Offered Shares by the proposed transferee (as set forth in the notice required under Section 11(a)(i)), or the Fair Market Value as determined by the Board in the event no purchase price is involved. To the extent consideration other than cash is offered by the proposed transferee, the Company will not be required to pay any additional amounts to the Offeror other than the cash price offered (or the Fair Market Value, if applicable). The Company’s notice of exercise of its Right of First Refusal will be accompanied by full payment for the Offered Shares and, upon such payment by the Company, the Company will acquire full right, title and interest to all of the Offered Shares.</w:t>
      </w:r>
    </w:p>
    <w:p>
      <w:pPr>
        <w:spacing w:after="0" w:line="70" w:lineRule="exact"/>
        <w:rPr>
          <w:rFonts w:ascii="Arial" w:cs="Arial" w:eastAsia="Arial" w:hAnsi="Arial"/>
          <w:sz w:val="17"/>
          <w:szCs w:val="17"/>
          <w:b w:val="1"/>
          <w:bCs w:val="1"/>
          <w:color w:val="auto"/>
        </w:rPr>
      </w:pPr>
    </w:p>
    <w:p>
      <w:pPr>
        <w:ind w:right="140" w:firstLine="1492"/>
        <w:spacing w:after="0" w:line="293" w:lineRule="auto"/>
        <w:tabs>
          <w:tab w:leader="none" w:pos="1788" w:val="left"/>
        </w:tabs>
        <w:numPr>
          <w:ilvl w:val="1"/>
          <w:numId w:val="249"/>
        </w:numPr>
        <w:rPr>
          <w:rFonts w:ascii="Arial" w:cs="Arial" w:eastAsia="Arial" w:hAnsi="Arial"/>
          <w:sz w:val="16"/>
          <w:szCs w:val="16"/>
          <w:b w:val="1"/>
          <w:bCs w:val="1"/>
          <w:color w:val="auto"/>
        </w:rPr>
      </w:pPr>
      <w:r>
        <w:rPr>
          <w:rFonts w:ascii="Arial" w:cs="Arial" w:eastAsia="Arial" w:hAnsi="Arial"/>
          <w:sz w:val="16"/>
          <w:szCs w:val="16"/>
          <w:color w:val="auto"/>
        </w:rPr>
        <w:t xml:space="preserve">If, and only if, the option given pursuant to Section 11(a)(ii) is not exercised, the Transfer proposed in the notice given pursuant to Section 11(a)(i) may take place;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Transfer must, in all respects, be exactly as proposed in said notice except that such Transfer may not take place either before the tenth (10</w:t>
      </w:r>
      <w:r>
        <w:rPr>
          <w:rFonts w:ascii="Arial" w:cs="Arial" w:eastAsia="Arial" w:hAnsi="Arial"/>
          <w:sz w:val="13"/>
          <w:szCs w:val="13"/>
          <w:color w:val="auto"/>
        </w:rPr>
        <w:t>th</w:t>
      </w:r>
      <w:r>
        <w:rPr>
          <w:rFonts w:ascii="Arial" w:cs="Arial" w:eastAsia="Arial" w:hAnsi="Arial"/>
          <w:sz w:val="16"/>
          <w:szCs w:val="16"/>
          <w:color w:val="auto"/>
        </w:rPr>
        <w:t>) calendar day after the expiration of the thirty (30) day option exercise period or after the ninetieth (90</w:t>
      </w:r>
      <w:r>
        <w:rPr>
          <w:rFonts w:ascii="Arial" w:cs="Arial" w:eastAsia="Arial" w:hAnsi="Arial"/>
          <w:sz w:val="13"/>
          <w:szCs w:val="13"/>
          <w:color w:val="auto"/>
        </w:rPr>
        <w:t>th</w:t>
      </w:r>
      <w:r>
        <w:rPr>
          <w:rFonts w:ascii="Arial" w:cs="Arial" w:eastAsia="Arial" w:hAnsi="Arial"/>
          <w:sz w:val="16"/>
          <w:szCs w:val="16"/>
          <w:color w:val="auto"/>
        </w:rPr>
        <w:t>) calendar day after the expiration of the thirty (30) day option exercise period, and if such Transfer has not taken place prior to said ninetieth (90</w:t>
      </w:r>
      <w:r>
        <w:rPr>
          <w:rFonts w:ascii="Arial" w:cs="Arial" w:eastAsia="Arial" w:hAnsi="Arial"/>
          <w:sz w:val="13"/>
          <w:szCs w:val="13"/>
          <w:color w:val="auto"/>
        </w:rPr>
        <w:t>th</w:t>
      </w:r>
      <w:r>
        <w:rPr>
          <w:rFonts w:ascii="Arial" w:cs="Arial" w:eastAsia="Arial" w:hAnsi="Arial"/>
          <w:sz w:val="16"/>
          <w:szCs w:val="16"/>
          <w:color w:val="auto"/>
        </w:rPr>
        <w:t>) day, such Transfer may not take place without once again complying with this Section 11(a). The option exercise periods in this Section 11(a)(iv) will be adjusted to include any extension required to avoid the classification of your option as a liability for financial accounting purposes.</w:t>
      </w:r>
    </w:p>
    <w:p>
      <w:pPr>
        <w:spacing w:after="0" w:line="56" w:lineRule="exact"/>
        <w:rPr>
          <w:rFonts w:ascii="Arial" w:cs="Arial" w:eastAsia="Arial" w:hAnsi="Arial"/>
          <w:sz w:val="16"/>
          <w:szCs w:val="16"/>
          <w:b w:val="1"/>
          <w:bCs w:val="1"/>
          <w:color w:val="auto"/>
        </w:rPr>
      </w:pPr>
    </w:p>
    <w:p>
      <w:pPr>
        <w:ind w:firstLine="921"/>
        <w:spacing w:after="0" w:line="255" w:lineRule="auto"/>
        <w:tabs>
          <w:tab w:leader="none" w:pos="1178"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As used in this Section 11, the term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means any sale, encumbrance, pledge, gift or other form of disposition or transfer of shares of Common Stock or any legal or equitable interest therein;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term Transfer does not include a transfer of such shares or interests by will or intestacy to your Immediate Family (as defined below). In such case, the transferee or other recipient will receive and hold the shares of Common Stock so transferred subject to the provisions of this Section, and there will be no further transfer of such shares except in accordance with the terms of this Section 11. As used herein, the term “</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will mean your spouse, the lineal descendant or antecedent, father, mother, brother or sister, child, adopted child, grandchild or adopted grandchild of you or your spouse, or the spouse of any child, adopted child, grandchild or adopted grandchild of you or your spouse.</w:t>
      </w:r>
    </w:p>
    <w:p>
      <w:pPr>
        <w:sectPr>
          <w:pgSz w:w="11900" w:h="16838" w:orient="portrait"/>
          <w:cols w:equalWidth="0" w:num="1">
            <w:col w:w="11380"/>
          </w:cols>
          <w:pgMar w:left="240" w:top="274" w:right="279" w:bottom="1440" w:gutter="0" w:footer="0" w:header="0"/>
        </w:sectPr>
      </w:pPr>
    </w:p>
    <w:bookmarkStart w:id="293" w:name="page294"/>
    <w:bookmarkEnd w:id="293"/>
    <w:p>
      <w:pPr>
        <w:jc w:val="both"/>
        <w:ind w:left="-464" w:right="20" w:firstLine="921"/>
        <w:spacing w:after="0" w:line="259" w:lineRule="auto"/>
        <w:tabs>
          <w:tab w:leader="none" w:pos="693"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 of the shares of Common Stock purchased on exercise of your option will be transferred on the Company’s books nor will the Company recognize any such Transfer of any such shares or any interest therein unless and until all applicable provisions of this Section 11 have been complied with in all respects. The certificates of stock evidencing shares of Common Stock purchased on exercise of your option will bear an appropriate legend referring to the transfer restrictions imposed by this Section 11.</w:t>
      </w:r>
    </w:p>
    <w:p>
      <w:pPr>
        <w:spacing w:after="0" w:line="78" w:lineRule="exact"/>
        <w:rPr>
          <w:rFonts w:ascii="Arial" w:cs="Arial" w:eastAsia="Arial" w:hAnsi="Arial"/>
          <w:sz w:val="18"/>
          <w:szCs w:val="18"/>
          <w:b w:val="1"/>
          <w:bCs w:val="1"/>
          <w:color w:val="auto"/>
        </w:rPr>
      </w:pPr>
    </w:p>
    <w:p>
      <w:pPr>
        <w:ind w:left="-464" w:firstLine="921"/>
        <w:spacing w:after="0" w:line="270" w:lineRule="auto"/>
        <w:tabs>
          <w:tab w:leader="none" w:pos="713" w:val="left"/>
        </w:tabs>
        <w:numPr>
          <w:ilvl w:val="1"/>
          <w:numId w:val="251"/>
        </w:numPr>
        <w:rPr>
          <w:rFonts w:ascii="Arial" w:cs="Arial" w:eastAsia="Arial" w:hAnsi="Arial"/>
          <w:sz w:val="17"/>
          <w:szCs w:val="17"/>
          <w:b w:val="1"/>
          <w:bCs w:val="1"/>
          <w:color w:val="auto"/>
        </w:rPr>
      </w:pPr>
      <w:r>
        <w:rPr>
          <w:rFonts w:ascii="Arial" w:cs="Arial" w:eastAsia="Arial" w:hAnsi="Arial"/>
          <w:sz w:val="17"/>
          <w:szCs w:val="17"/>
          <w:color w:val="auto"/>
        </w:rPr>
        <w:t>To ensure that the shares subject to the Company’s Right of First Refusal will be available for repurchase by the Company, the Company may require you to deposit the certificates evidencing the shares that you purchase upon exercise of your option with an escrow agent designated by the Company under the terms and conditions of an escrow agreement approved by the Company. If the Company does not require such deposit as a condition of exercise of your option, the Company reserves the right at any time to require you to so deposit the certificates in escrow. As soon as practicable after the expiration of the Company’s Right of First Refusal, the agent will deliver to you the shares and any other property no longer subject to such restriction. In the event the shares and any other property held in escrow are subject to the Company’s exercise of its Right of First Refusal, the notices required to be given to you will be given to the escrow agent, and any payment required to be given to you will be given to the escrow agent. Within thirty (30) days after payment by the Company for the Offered Shares, the escrow agent will deliver the Offered Shares that the Company has repurchased to the Company and will deliver the payment received from the Company to you.</w:t>
      </w:r>
    </w:p>
    <w:p>
      <w:pPr>
        <w:spacing w:after="0" w:line="69" w:lineRule="exact"/>
        <w:rPr>
          <w:rFonts w:ascii="Arial" w:cs="Arial" w:eastAsia="Arial" w:hAnsi="Arial"/>
          <w:sz w:val="17"/>
          <w:szCs w:val="17"/>
          <w:b w:val="1"/>
          <w:bCs w:val="1"/>
          <w:color w:val="auto"/>
        </w:rPr>
      </w:pPr>
    </w:p>
    <w:p>
      <w:pPr>
        <w:ind w:left="-464" w:right="480" w:firstLine="464"/>
        <w:spacing w:after="0" w:line="313" w:lineRule="auto"/>
        <w:tabs>
          <w:tab w:leader="none" w:pos="262"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IGHT OF</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EPURCHASE</w:t>
      </w:r>
      <w:r>
        <w:rPr>
          <w:rFonts w:ascii="Arial" w:cs="Arial" w:eastAsia="Arial" w:hAnsi="Arial"/>
          <w:sz w:val="17"/>
          <w:szCs w:val="17"/>
          <w:color w:val="auto"/>
        </w:rPr>
        <w:t>. To the extent provided in the Company’s bylaws in effect at such time the Company elects to exercise its right,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have the right to repurchase all or any part of the shares of Common Stock you acquire pursuant to the exercise of your option.</w:t>
      </w:r>
    </w:p>
    <w:p>
      <w:pPr>
        <w:spacing w:after="0" w:line="30" w:lineRule="exact"/>
        <w:rPr>
          <w:rFonts w:ascii="Arial" w:cs="Arial" w:eastAsia="Arial" w:hAnsi="Arial"/>
          <w:sz w:val="17"/>
          <w:szCs w:val="17"/>
          <w:b w:val="1"/>
          <w:bCs w:val="1"/>
          <w:color w:val="auto"/>
        </w:rPr>
      </w:pPr>
    </w:p>
    <w:p>
      <w:pPr>
        <w:ind w:left="-464" w:right="120" w:firstLine="464"/>
        <w:spacing w:after="0" w:line="281" w:lineRule="auto"/>
        <w:tabs>
          <w:tab w:leader="none" w:pos="262"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 NOT A</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ERVICE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ONTRACT</w:t>
      </w:r>
      <w:r>
        <w:rPr>
          <w:rFonts w:ascii="Arial" w:cs="Arial" w:eastAsia="Arial" w:hAnsi="Arial"/>
          <w:sz w:val="17"/>
          <w:szCs w:val="17"/>
          <w:color w:val="auto"/>
        </w:rPr>
        <w:t>. Your option is not an employment or service contract, and nothing in your option will be deemed to create</w:t>
      </w:r>
      <w:r>
        <w:rPr>
          <w:rFonts w:ascii="Arial" w:cs="Arial" w:eastAsia="Arial" w:hAnsi="Arial"/>
          <w:sz w:val="17"/>
          <w:szCs w:val="17"/>
          <w:b w:val="1"/>
          <w:bCs w:val="1"/>
          <w:color w:val="auto"/>
        </w:rPr>
        <w:t xml:space="preserve"> </w:t>
      </w:r>
      <w:r>
        <w:rPr>
          <w:rFonts w:ascii="Arial" w:cs="Arial" w:eastAsia="Arial" w:hAnsi="Arial"/>
          <w:sz w:val="17"/>
          <w:szCs w:val="17"/>
          <w:color w:val="auto"/>
        </w:rPr>
        <w:t>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56" w:lineRule="exact"/>
        <w:rPr>
          <w:rFonts w:ascii="Arial" w:cs="Arial" w:eastAsia="Arial" w:hAnsi="Arial"/>
          <w:sz w:val="17"/>
          <w:szCs w:val="17"/>
          <w:b w:val="1"/>
          <w:bCs w:val="1"/>
          <w:color w:val="auto"/>
        </w:rPr>
      </w:pPr>
    </w:p>
    <w:p>
      <w:pPr>
        <w:ind w:left="276" w:hanging="276"/>
        <w:spacing w:after="0"/>
        <w:tabs>
          <w:tab w:leader="none" w:pos="276"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64" w:right="140" w:firstLine="921"/>
        <w:spacing w:after="0" w:line="257" w:lineRule="auto"/>
        <w:tabs>
          <w:tab w:leader="none" w:pos="703"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80" w:lineRule="exact"/>
        <w:rPr>
          <w:rFonts w:ascii="Arial" w:cs="Arial" w:eastAsia="Arial" w:hAnsi="Arial"/>
          <w:sz w:val="18"/>
          <w:szCs w:val="18"/>
          <w:b w:val="1"/>
          <w:bCs w:val="1"/>
          <w:color w:val="auto"/>
        </w:rPr>
      </w:pPr>
    </w:p>
    <w:p>
      <w:pPr>
        <w:ind w:left="-464" w:right="20" w:firstLine="921"/>
        <w:spacing w:after="0" w:line="302" w:lineRule="auto"/>
        <w:tabs>
          <w:tab w:leader="none" w:pos="713" w:val="left"/>
        </w:tabs>
        <w:numPr>
          <w:ilvl w:val="1"/>
          <w:numId w:val="252"/>
        </w:numPr>
        <w:rPr>
          <w:rFonts w:ascii="Arial" w:cs="Arial" w:eastAsia="Arial" w:hAnsi="Arial"/>
          <w:sz w:val="16"/>
          <w:szCs w:val="16"/>
          <w:b w:val="1"/>
          <w:bCs w:val="1"/>
          <w:color w:val="auto"/>
        </w:rPr>
      </w:pPr>
      <w:r>
        <w:rPr>
          <w:rFonts w:ascii="Arial" w:cs="Arial" w:eastAsia="Arial" w:hAnsi="Arial"/>
          <w:sz w:val="16"/>
          <w:szCs w:val="16"/>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w:t>
      </w:r>
    </w:p>
    <w:p>
      <w:pPr>
        <w:sectPr>
          <w:pgSz w:w="11900" w:h="16838" w:orient="portrait"/>
          <w:cols w:equalWidth="0" w:num="1">
            <w:col w:w="10956"/>
          </w:cols>
          <w:pgMar w:left="704" w:top="274" w:right="239" w:bottom="1440" w:gutter="0" w:footer="0" w:header="0"/>
        </w:sectPr>
      </w:pPr>
    </w:p>
    <w:bookmarkStart w:id="294" w:name="page295"/>
    <w:bookmarkEnd w:id="29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81" w:lineRule="exact"/>
        <w:rPr>
          <w:sz w:val="20"/>
          <w:szCs w:val="20"/>
          <w:color w:val="auto"/>
        </w:rPr>
      </w:pPr>
    </w:p>
    <w:p>
      <w:pPr>
        <w:ind w:right="100" w:firstLine="921"/>
        <w:spacing w:after="0" w:line="259" w:lineRule="auto"/>
        <w:tabs>
          <w:tab w:leader="none" w:pos="1157" w:val="left"/>
        </w:tabs>
        <w:numPr>
          <w:ilvl w:val="1"/>
          <w:numId w:val="253"/>
        </w:numPr>
        <w:rPr>
          <w:rFonts w:ascii="Arial" w:cs="Arial" w:eastAsia="Arial" w:hAnsi="Arial"/>
          <w:sz w:val="18"/>
          <w:szCs w:val="18"/>
          <w:b w:val="1"/>
          <w:bCs w:val="1"/>
          <w:color w:val="auto"/>
        </w:rPr>
      </w:pPr>
      <w:r>
        <w:rPr>
          <w:rFonts w:ascii="Arial" w:cs="Arial" w:eastAsia="Arial" w:hAnsi="Arial"/>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74" w:lineRule="exact"/>
        <w:rPr>
          <w:rFonts w:ascii="Arial" w:cs="Arial" w:eastAsia="Arial" w:hAnsi="Arial"/>
          <w:sz w:val="18"/>
          <w:szCs w:val="18"/>
          <w:b w:val="1"/>
          <w:bCs w:val="1"/>
          <w:color w:val="auto"/>
        </w:rPr>
      </w:pPr>
    </w:p>
    <w:p>
      <w:pPr>
        <w:ind w:right="60" w:firstLine="464"/>
        <w:spacing w:after="0" w:line="290" w:lineRule="auto"/>
        <w:tabs>
          <w:tab w:leader="none" w:pos="726" w:val="left"/>
        </w:tabs>
        <w:numPr>
          <w:ilvl w:val="0"/>
          <w:numId w:val="254"/>
        </w:numPr>
        <w:rPr>
          <w:rFonts w:ascii="Arial" w:cs="Arial" w:eastAsia="Arial" w:hAnsi="Arial"/>
          <w:sz w:val="16"/>
          <w:szCs w:val="16"/>
          <w:b w:val="1"/>
          <w:bCs w:val="1"/>
          <w:color w:val="auto"/>
        </w:rPr>
      </w:pPr>
      <w:r>
        <w:rPr>
          <w:rFonts w:ascii="Arial" w:cs="Arial" w:eastAsia="Arial" w:hAnsi="Arial"/>
          <w:sz w:val="16"/>
          <w:szCs w:val="16"/>
          <w:b w:val="1"/>
          <w:bCs w:val="1"/>
          <w:color w:val="auto"/>
        </w:rPr>
        <w:t>T</w:t>
      </w:r>
      <w:r>
        <w:rPr>
          <w:rFonts w:ascii="Arial" w:cs="Arial" w:eastAsia="Arial" w:hAnsi="Arial"/>
          <w:sz w:val="13"/>
          <w:szCs w:val="13"/>
          <w:b w:val="1"/>
          <w:bCs w:val="1"/>
          <w:color w:val="auto"/>
        </w:rPr>
        <w:t>AX</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6"/>
          <w:szCs w:val="16"/>
          <w:color w:val="auto"/>
        </w:rPr>
        <w:t>. You hereby agree that the Company does not have a duty to design or administer the Plan or its other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51" w:lineRule="exact"/>
        <w:rPr>
          <w:rFonts w:ascii="Arial" w:cs="Arial" w:eastAsia="Arial" w:hAnsi="Arial"/>
          <w:sz w:val="16"/>
          <w:szCs w:val="16"/>
          <w:b w:val="1"/>
          <w:bCs w:val="1"/>
          <w:color w:val="auto"/>
        </w:rPr>
      </w:pPr>
    </w:p>
    <w:p>
      <w:pPr>
        <w:ind w:right="200" w:firstLine="464"/>
        <w:spacing w:after="0" w:line="274" w:lineRule="auto"/>
        <w:tabs>
          <w:tab w:leader="none" w:pos="726"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OTICES</w:t>
      </w:r>
      <w:r>
        <w:rPr>
          <w:rFonts w:ascii="Arial" w:cs="Arial" w:eastAsia="Arial" w:hAnsi="Arial"/>
          <w:sz w:val="17"/>
          <w:szCs w:val="17"/>
          <w:color w:val="auto"/>
        </w:rPr>
        <w:t>. Any notices provided for in your option or the Plan will be given in writing (including electronically) and will be deemed effectively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65" w:lineRule="exact"/>
        <w:rPr>
          <w:rFonts w:ascii="Arial" w:cs="Arial" w:eastAsia="Arial" w:hAnsi="Arial"/>
          <w:sz w:val="17"/>
          <w:szCs w:val="17"/>
          <w:b w:val="1"/>
          <w:bCs w:val="1"/>
          <w:color w:val="auto"/>
        </w:rPr>
      </w:pPr>
    </w:p>
    <w:p>
      <w:pPr>
        <w:ind w:right="100" w:firstLine="464"/>
        <w:spacing w:after="0" w:line="289" w:lineRule="auto"/>
        <w:tabs>
          <w:tab w:leader="none" w:pos="726"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7"/>
          <w:szCs w:val="17"/>
          <w:color w:val="auto"/>
        </w:rPr>
        <w:t>. Your option is subject to all the provisions of the Plan, the provisions of which are hereby made a part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ectPr>
          <w:pgSz w:w="11900" w:h="16838" w:orient="portrait"/>
          <w:cols w:equalWidth="0" w:num="1">
            <w:col w:w="11400"/>
          </w:cols>
          <w:pgMar w:left="240" w:top="274" w:right="259" w:bottom="1440" w:gutter="0" w:footer="0" w:header="0"/>
        </w:sectPr>
      </w:pPr>
    </w:p>
    <w:bookmarkStart w:id="295" w:name="page296"/>
    <w:bookmarkEnd w:id="29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2015 EQUITY INCENTIVE PLAN</w:t>
      </w:r>
    </w:p>
    <w:p>
      <w:pPr>
        <w:sectPr>
          <w:pgSz w:w="11900" w:h="16838" w:orient="portrait"/>
          <w:cols w:equalWidth="0" w:num="1">
            <w:col w:w="9019"/>
          </w:cols>
          <w:pgMar w:left="1440" w:top="270" w:right="1440" w:bottom="1440" w:gutter="0" w:footer="0" w:header="0"/>
        </w:sectPr>
      </w:pPr>
    </w:p>
    <w:bookmarkStart w:id="296" w:name="page297"/>
    <w:bookmarkEnd w:id="2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FORTY SEVEN,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Forty Seven,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1490 O’Brien Drive, Suite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Date of Exercise: _______________</w:t>
      </w:r>
    </w:p>
    <w:p>
      <w:pPr>
        <w:spacing w:after="0" w:line="237" w:lineRule="exact"/>
        <w:rPr>
          <w:sz w:val="20"/>
          <w:szCs w:val="20"/>
          <w:color w:val="auto"/>
        </w:rPr>
      </w:pPr>
    </w:p>
    <w:p>
      <w:pPr>
        <w:sectPr>
          <w:pgSz w:w="11900" w:h="16838" w:orient="portrait"/>
          <w:cols w:equalWidth="0" w:num="2">
            <w:col w:w="8060" w:space="720"/>
            <w:col w:w="2640"/>
          </w:cols>
          <w:pgMar w:left="240" w:top="270" w:right="239" w:bottom="1440" w:gutter="0" w:footer="0" w:header="0"/>
          <w:type w:val="continuous"/>
        </w:sectPr>
      </w:pPr>
    </w:p>
    <w:p>
      <w:pPr>
        <w:spacing w:after="0" w:line="2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This constitutes notice to </w:t>
      </w:r>
      <w:r>
        <w:rPr>
          <w:rFonts w:ascii="Arial" w:cs="Arial" w:eastAsia="Arial" w:hAnsi="Arial"/>
          <w:sz w:val="18"/>
          <w:szCs w:val="18"/>
          <w:b w:val="1"/>
          <w:bCs w:val="1"/>
          <w:color w:val="auto"/>
        </w:rPr>
        <w:t>F</w:t>
      </w:r>
      <w:r>
        <w:rPr>
          <w:rFonts w:ascii="Arial" w:cs="Arial" w:eastAsia="Arial" w:hAnsi="Arial"/>
          <w:sz w:val="15"/>
          <w:szCs w:val="15"/>
          <w:b w:val="1"/>
          <w:bCs w:val="1"/>
          <w:color w:val="auto"/>
        </w:rPr>
        <w:t>ORTY</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EVEN</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price set forth below.</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7540" w:type="dxa"/>
            <w:vAlign w:val="bottom"/>
          </w:tcPr>
          <w:p>
            <w:pPr>
              <w:spacing w:after="0"/>
              <w:rPr>
                <w:sz w:val="20"/>
                <w:szCs w:val="20"/>
                <w:color w:val="auto"/>
              </w:rPr>
            </w:pPr>
            <w:r>
              <w:rPr>
                <w:rFonts w:ascii="Arial" w:cs="Arial" w:eastAsia="Arial" w:hAnsi="Arial"/>
                <w:sz w:val="18"/>
                <w:szCs w:val="18"/>
                <w:color w:val="auto"/>
              </w:rPr>
              <w:t>Type of option (check one):</w:t>
            </w:r>
          </w:p>
        </w:tc>
        <w:tc>
          <w:tcPr>
            <w:tcW w:w="1380" w:type="dxa"/>
            <w:vAlign w:val="bottom"/>
          </w:tcPr>
          <w:p>
            <w:pPr>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1580" w:type="dxa"/>
            <w:vAlign w:val="bottom"/>
            <w:gridSpan w:val="2"/>
          </w:tcPr>
          <w:p>
            <w:pPr>
              <w:ind w:left="200"/>
              <w:spacing w:after="0" w:line="207" w:lineRule="exact"/>
              <w:rPr>
                <w:sz w:val="20"/>
                <w:szCs w:val="20"/>
                <w:color w:val="auto"/>
              </w:rPr>
            </w:pPr>
            <w:r>
              <w:rPr>
                <w:rFonts w:ascii="Arial" w:cs="Arial" w:eastAsia="Arial" w:hAnsi="Arial"/>
                <w:sz w:val="18"/>
                <w:szCs w:val="18"/>
                <w:color w:val="auto"/>
              </w:rPr>
              <w:t xml:space="preserve">Nonstatutory </w:t>
            </w:r>
            <w:r>
              <w:rPr>
                <w:rFonts w:ascii="MS PGothic" w:cs="MS PGothic" w:eastAsia="MS PGothic" w:hAnsi="MS PGothic"/>
                <w:sz w:val="18"/>
                <w:szCs w:val="18"/>
                <w:color w:val="auto"/>
              </w:rPr>
              <w:t>☐</w:t>
            </w:r>
          </w:p>
        </w:tc>
      </w:tr>
      <w:tr>
        <w:trPr>
          <w:trHeight w:val="304"/>
        </w:trPr>
        <w:tc>
          <w:tcPr>
            <w:tcW w:w="7540" w:type="dxa"/>
            <w:vAlign w:val="bottom"/>
          </w:tcPr>
          <w:p>
            <w:pPr>
              <w:spacing w:after="0"/>
              <w:rPr>
                <w:sz w:val="20"/>
                <w:szCs w:val="20"/>
                <w:color w:val="auto"/>
              </w:rPr>
            </w:pPr>
            <w:r>
              <w:rPr>
                <w:rFonts w:ascii="Arial" w:cs="Arial" w:eastAsia="Arial" w:hAnsi="Arial"/>
                <w:sz w:val="18"/>
                <w:szCs w:val="18"/>
                <w:color w:val="auto"/>
              </w:rPr>
              <w:t>Stock option dated:</w:t>
            </w:r>
          </w:p>
        </w:tc>
        <w:tc>
          <w:tcPr>
            <w:tcW w:w="13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331"/>
        </w:trPr>
        <w:tc>
          <w:tcPr>
            <w:tcW w:w="7540" w:type="dxa"/>
            <w:vAlign w:val="bottom"/>
          </w:tcPr>
          <w:p>
            <w:pPr>
              <w:spacing w:after="0"/>
              <w:rPr>
                <w:sz w:val="20"/>
                <w:szCs w:val="20"/>
                <w:color w:val="auto"/>
              </w:rPr>
            </w:pPr>
            <w:r>
              <w:rPr>
                <w:rFonts w:ascii="Arial" w:cs="Arial" w:eastAsia="Arial" w:hAnsi="Arial"/>
                <w:sz w:val="18"/>
                <w:szCs w:val="18"/>
                <w:color w:val="auto"/>
              </w:rPr>
              <w:t>Number of Shares as to which option is exercised:</w:t>
            </w:r>
          </w:p>
        </w:tc>
        <w:tc>
          <w:tcPr>
            <w:tcW w:w="13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331"/>
        </w:trPr>
        <w:tc>
          <w:tcPr>
            <w:tcW w:w="7540" w:type="dxa"/>
            <w:vAlign w:val="bottom"/>
          </w:tcPr>
          <w:p>
            <w:pPr>
              <w:spacing w:after="0"/>
              <w:rPr>
                <w:sz w:val="20"/>
                <w:szCs w:val="20"/>
                <w:color w:val="auto"/>
              </w:rPr>
            </w:pPr>
            <w:r>
              <w:rPr>
                <w:rFonts w:ascii="Arial" w:cs="Arial" w:eastAsia="Arial" w:hAnsi="Arial"/>
                <w:sz w:val="18"/>
                <w:szCs w:val="18"/>
                <w:color w:val="auto"/>
              </w:rPr>
              <w:t>Certificates to be issued in name of:</w:t>
            </w:r>
          </w:p>
        </w:tc>
        <w:tc>
          <w:tcPr>
            <w:tcW w:w="13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331"/>
        </w:trPr>
        <w:tc>
          <w:tcPr>
            <w:tcW w:w="7540" w:type="dxa"/>
            <w:vAlign w:val="bottom"/>
          </w:tcPr>
          <w:p>
            <w:pPr>
              <w:spacing w:after="0"/>
              <w:rPr>
                <w:sz w:val="20"/>
                <w:szCs w:val="20"/>
                <w:color w:val="auto"/>
              </w:rPr>
            </w:pPr>
            <w:r>
              <w:rPr>
                <w:rFonts w:ascii="Arial" w:cs="Arial" w:eastAsia="Arial" w:hAnsi="Arial"/>
                <w:sz w:val="18"/>
                <w:szCs w:val="18"/>
                <w:color w:val="auto"/>
              </w:rPr>
              <w:t>Total exercise price:</w:t>
            </w:r>
          </w:p>
        </w:tc>
        <w:tc>
          <w:tcPr>
            <w:tcW w:w="1380" w:type="dxa"/>
            <w:vAlign w:val="bottom"/>
          </w:tcPr>
          <w:p>
            <w:pPr>
              <w:spacing w:after="0"/>
              <w:rPr>
                <w:sz w:val="20"/>
                <w:szCs w:val="20"/>
                <w:color w:val="auto"/>
              </w:rPr>
            </w:pPr>
            <w:r>
              <w:rPr>
                <w:rFonts w:ascii="Arial" w:cs="Arial" w:eastAsia="Arial" w:hAnsi="Arial"/>
                <w:sz w:val="18"/>
                <w:szCs w:val="18"/>
                <w:color w:val="auto"/>
                <w:w w:val="90"/>
              </w:rPr>
              <w:t>$______________</w:t>
            </w: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w w:val="90"/>
              </w:rPr>
              <w:t>$______________</w:t>
            </w: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Cash payment delivered herewith:</w:t>
            </w:r>
          </w:p>
        </w:tc>
        <w:tc>
          <w:tcPr>
            <w:tcW w:w="1380" w:type="dxa"/>
            <w:vAlign w:val="bottom"/>
          </w:tcPr>
          <w:p>
            <w:pPr>
              <w:spacing w:after="0"/>
              <w:rPr>
                <w:sz w:val="20"/>
                <w:szCs w:val="20"/>
                <w:color w:val="auto"/>
              </w:rPr>
            </w:pPr>
            <w:r>
              <w:rPr>
                <w:rFonts w:ascii="Arial" w:cs="Arial" w:eastAsia="Arial" w:hAnsi="Arial"/>
                <w:sz w:val="18"/>
                <w:szCs w:val="18"/>
                <w:color w:val="auto"/>
                <w:w w:val="90"/>
              </w:rPr>
              <w:t>$______________</w:t>
            </w: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w w:val="90"/>
              </w:rPr>
              <w:t>$______________</w:t>
            </w:r>
          </w:p>
        </w:tc>
      </w:tr>
    </w:tbl>
    <w:p>
      <w:pPr>
        <w:spacing w:after="0" w:line="202"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By this exercise, I agree (i) to provide such additional documents as you may require pursuant to the terms of the 2015 Equity Incentive Plan, (ii) to provide for the payment by me to you (in the manner designated by you) of your withholding obligation, if any, relating to the exercise of this option, and</w:t>
      </w:r>
    </w:p>
    <w:p>
      <w:pPr>
        <w:ind w:right="180" w:firstLine="8"/>
        <w:spacing w:after="0" w:line="255" w:lineRule="auto"/>
        <w:tabs>
          <w:tab w:leader="none" w:pos="31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this exercise relates to an incentive stock option, to notify you in writing within fifteen (15) 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1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2711 or NYSE Member Rule 472 or any successor or similar rule or regulation) (the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24" w:lineRule="exact"/>
        <w:rPr>
          <w:sz w:val="20"/>
          <w:szCs w:val="20"/>
          <w:color w:val="auto"/>
        </w:rPr>
      </w:pPr>
    </w:p>
    <w:p>
      <w:pPr>
        <w:jc w:val="right"/>
        <w:ind w:right="57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4" w:lineRule="exact"/>
        <w:rPr>
          <w:sz w:val="20"/>
          <w:szCs w:val="20"/>
          <w:color w:val="auto"/>
        </w:rPr>
      </w:pPr>
    </w:p>
    <w:p>
      <w:pPr>
        <w:jc w:val="right"/>
        <w:ind w:right="57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4" w:lineRule="exact"/>
        <w:rPr>
          <w:sz w:val="20"/>
          <w:szCs w:val="20"/>
          <w:color w:val="auto"/>
        </w:rPr>
      </w:pPr>
    </w:p>
    <w:p>
      <w:pPr>
        <w:jc w:val="right"/>
        <w:ind w:right="5700"/>
        <w:spacing w:after="0"/>
        <w:rPr>
          <w:sz w:val="20"/>
          <w:szCs w:val="20"/>
          <w:color w:val="auto"/>
        </w:rPr>
      </w:pPr>
      <w:r>
        <w:rPr>
          <w:rFonts w:ascii="Arial" w:cs="Arial" w:eastAsia="Arial" w:hAnsi="Arial"/>
          <w:sz w:val="18"/>
          <w:szCs w:val="18"/>
          <w:color w:val="auto"/>
        </w:rPr>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238125</wp:posOffset>
            </wp:positionV>
            <wp:extent cx="355028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461010</wp:posOffset>
            </wp:positionV>
            <wp:extent cx="35502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ORTY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EVEN</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IRECTORS</w:t>
      </w:r>
      <w:r>
        <w:rPr>
          <w:rFonts w:ascii="Arial" w:cs="Arial" w:eastAsia="Arial" w:hAnsi="Arial"/>
          <w:sz w:val="18"/>
          <w:szCs w:val="18"/>
          <w:b w:val="1"/>
          <w:bCs w:val="1"/>
          <w:color w:val="auto"/>
        </w:rPr>
        <w:t>: J</w:t>
      </w:r>
      <w:r>
        <w:rPr>
          <w:rFonts w:ascii="Arial" w:cs="Arial" w:eastAsia="Arial" w:hAnsi="Arial"/>
          <w:sz w:val="15"/>
          <w:szCs w:val="15"/>
          <w:b w:val="1"/>
          <w:bCs w:val="1"/>
          <w:color w:val="auto"/>
        </w:rPr>
        <w:t>UNE</w:t>
      </w:r>
      <w:r>
        <w:rPr>
          <w:rFonts w:ascii="Arial" w:cs="Arial" w:eastAsia="Arial" w:hAnsi="Arial"/>
          <w:sz w:val="18"/>
          <w:szCs w:val="18"/>
          <w:b w:val="1"/>
          <w:bCs w:val="1"/>
          <w:color w:val="auto"/>
        </w:rPr>
        <w:t xml:space="preserve"> 13, 2018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TOCKHOLDERS</w:t>
      </w:r>
      <w:r>
        <w:rPr>
          <w:rFonts w:ascii="Arial" w:cs="Arial" w:eastAsia="Arial" w:hAnsi="Arial"/>
          <w:sz w:val="18"/>
          <w:szCs w:val="18"/>
          <w:b w:val="1"/>
          <w:bCs w:val="1"/>
          <w:color w:val="auto"/>
        </w:rPr>
        <w:t>: J</w:t>
      </w:r>
      <w:r>
        <w:rPr>
          <w:rFonts w:ascii="Arial" w:cs="Arial" w:eastAsia="Arial" w:hAnsi="Arial"/>
          <w:sz w:val="15"/>
          <w:szCs w:val="15"/>
          <w:b w:val="1"/>
          <w:bCs w:val="1"/>
          <w:color w:val="auto"/>
        </w:rPr>
        <w:t>UNE</w:t>
      </w:r>
      <w:r>
        <w:rPr>
          <w:rFonts w:ascii="Arial" w:cs="Arial" w:eastAsia="Arial" w:hAnsi="Arial"/>
          <w:sz w:val="18"/>
          <w:szCs w:val="18"/>
          <w:b w:val="1"/>
          <w:bCs w:val="1"/>
          <w:color w:val="auto"/>
        </w:rPr>
        <w:t xml:space="preserve"> 14, 2018</w:t>
      </w:r>
    </w:p>
    <w:tbl>
      <w:tblPr>
        <w:tblLayout w:type="fixed"/>
        <w:tblInd w:w="4020" w:type="dxa"/>
        <w:tblCellMar>
          <w:top w:w="0" w:type="dxa"/>
          <w:left w:w="0" w:type="dxa"/>
          <w:bottom w:w="0" w:type="dxa"/>
          <w:right w:w="0" w:type="dxa"/>
        </w:tblCellMar>
      </w:tblPr>
      <w:tr>
        <w:trPr>
          <w:trHeight w:val="185"/>
        </w:trPr>
        <w:tc>
          <w:tcPr>
            <w:tcW w:w="2340" w:type="dxa"/>
            <w:vAlign w:val="bottom"/>
          </w:tcPr>
          <w:p>
            <w:pPr>
              <w:spacing w:after="0" w:line="185" w:lineRule="exact"/>
              <w:rPr>
                <w:sz w:val="20"/>
                <w:szCs w:val="20"/>
                <w:color w:val="auto"/>
              </w:rPr>
            </w:pPr>
            <w:r>
              <w:rPr>
                <w:rFonts w:ascii="Arial" w:cs="Arial" w:eastAsia="Arial" w:hAnsi="Arial"/>
                <w:sz w:val="18"/>
                <w:szCs w:val="18"/>
                <w:b w:val="1"/>
                <w:bCs w:val="1"/>
                <w:color w:val="auto"/>
                <w:w w:val="99"/>
              </w:rPr>
              <w:t>IPO D</w:t>
            </w:r>
            <w:r>
              <w:rPr>
                <w:rFonts w:ascii="Arial" w:cs="Arial" w:eastAsia="Arial" w:hAnsi="Arial"/>
                <w:sz w:val="15"/>
                <w:szCs w:val="15"/>
                <w:b w:val="1"/>
                <w:bCs w:val="1"/>
                <w:color w:val="auto"/>
                <w:w w:val="99"/>
              </w:rPr>
              <w:t>ATE</w:t>
            </w:r>
            <w:r>
              <w:rPr>
                <w:rFonts w:ascii="Arial" w:cs="Arial" w:eastAsia="Arial" w:hAnsi="Arial"/>
                <w:sz w:val="18"/>
                <w:szCs w:val="18"/>
                <w:b w:val="1"/>
                <w:bCs w:val="1"/>
                <w:color w:val="auto"/>
                <w:w w:val="99"/>
              </w:rPr>
              <w:t>/E</w:t>
            </w:r>
            <w:r>
              <w:rPr>
                <w:rFonts w:ascii="Arial" w:cs="Arial" w:eastAsia="Arial" w:hAnsi="Arial"/>
                <w:sz w:val="15"/>
                <w:szCs w:val="15"/>
                <w:b w:val="1"/>
                <w:bCs w:val="1"/>
                <w:color w:val="auto"/>
                <w:w w:val="99"/>
              </w:rPr>
              <w:t>FFECTIVE</w:t>
            </w:r>
            <w:r>
              <w:rPr>
                <w:rFonts w:ascii="Arial" w:cs="Arial" w:eastAsia="Arial" w:hAnsi="Arial"/>
                <w:sz w:val="18"/>
                <w:szCs w:val="18"/>
                <w:b w:val="1"/>
                <w:bCs w:val="1"/>
                <w:color w:val="auto"/>
                <w:w w:val="99"/>
              </w:rPr>
              <w:t xml:space="preserve"> D</w:t>
            </w:r>
            <w:r>
              <w:rPr>
                <w:rFonts w:ascii="Arial" w:cs="Arial" w:eastAsia="Arial" w:hAnsi="Arial"/>
                <w:sz w:val="15"/>
                <w:szCs w:val="15"/>
                <w:b w:val="1"/>
                <w:bCs w:val="1"/>
                <w:color w:val="auto"/>
                <w:w w:val="99"/>
              </w:rPr>
              <w:t>ATE</w:t>
            </w:r>
            <w:r>
              <w:rPr>
                <w:rFonts w:ascii="Arial" w:cs="Arial" w:eastAsia="Arial" w:hAnsi="Arial"/>
                <w:sz w:val="18"/>
                <w:szCs w:val="18"/>
                <w:b w:val="1"/>
                <w:bCs w:val="1"/>
                <w:color w:val="auto"/>
                <w:w w:val="99"/>
              </w:rPr>
              <w:t>: [</w:t>
            </w:r>
          </w:p>
        </w:tc>
        <w:tc>
          <w:tcPr>
            <w:tcW w:w="540" w:type="dxa"/>
            <w:vAlign w:val="bottom"/>
            <w:tcBorders>
              <w:bottom w:val="single" w:sz="8" w:color="auto"/>
            </w:tcBorders>
          </w:tcPr>
          <w:p>
            <w:pPr>
              <w:spacing w:after="0"/>
              <w:rPr>
                <w:sz w:val="16"/>
                <w:szCs w:val="16"/>
                <w:color w:val="auto"/>
              </w:rPr>
            </w:pPr>
          </w:p>
        </w:tc>
        <w:tc>
          <w:tcPr>
            <w:tcW w:w="520" w:type="dxa"/>
            <w:vAlign w:val="bottom"/>
          </w:tcPr>
          <w:p>
            <w:pPr>
              <w:jc w:val="right"/>
              <w:spacing w:after="0" w:line="185" w:lineRule="exact"/>
              <w:rPr>
                <w:sz w:val="20"/>
                <w:szCs w:val="20"/>
                <w:color w:val="auto"/>
              </w:rPr>
            </w:pPr>
            <w:r>
              <w:rPr>
                <w:rFonts w:ascii="Arial" w:cs="Arial" w:eastAsia="Arial" w:hAnsi="Arial"/>
                <w:sz w:val="18"/>
                <w:szCs w:val="18"/>
                <w:b w:val="1"/>
                <w:bCs w:val="1"/>
                <w:color w:val="auto"/>
                <w:w w:val="89"/>
              </w:rPr>
              <w:t>], 2018</w:t>
            </w:r>
          </w:p>
        </w:tc>
      </w:tr>
    </w:tbl>
    <w:p>
      <w:pPr>
        <w:spacing w:after="0" w:line="252"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Employees, Directors and Consultants are eligible to receive Awards.</w:t>
      </w:r>
    </w:p>
    <w:p>
      <w:pPr>
        <w:spacing w:after="0" w:line="117" w:lineRule="exact"/>
        <w:rPr>
          <w:rFonts w:ascii="Arial" w:cs="Arial" w:eastAsia="Arial" w:hAnsi="Arial"/>
          <w:sz w:val="18"/>
          <w:szCs w:val="18"/>
          <w:b w:val="1"/>
          <w:bCs w:val="1"/>
          <w:color w:val="auto"/>
        </w:rPr>
      </w:pPr>
    </w:p>
    <w:p>
      <w:pPr>
        <w:ind w:right="460" w:firstLine="464"/>
        <w:spacing w:after="0" w:line="266" w:lineRule="auto"/>
        <w:tabs>
          <w:tab w:leader="none" w:pos="721"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Awards: (i) Incentive Stock Options, (ii) Nonstatutory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(iii) Stock Appreciation Rights (iv) Restricted Stock Awards, (v) Restricted Stock Unit Awards, (vi) Performance Stock Awards, (vii) Performance Cash Awards, and (viii) Other Stock Awards.</w:t>
      </w:r>
    </w:p>
    <w:p>
      <w:pPr>
        <w:spacing w:after="0" w:line="68" w:lineRule="exact"/>
        <w:rPr>
          <w:rFonts w:ascii="Arial" w:cs="Arial" w:eastAsia="Arial" w:hAnsi="Arial"/>
          <w:sz w:val="18"/>
          <w:szCs w:val="18"/>
          <w:b w:val="1"/>
          <w:bCs w:val="1"/>
          <w:color w:val="auto"/>
        </w:rPr>
      </w:pPr>
    </w:p>
    <w:p>
      <w:pPr>
        <w:ind w:firstLine="464"/>
        <w:spacing w:after="0" w:line="266" w:lineRule="auto"/>
        <w:tabs>
          <w:tab w:leader="none" w:pos="701"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Plan, through the grant of Awards, is intended to help the Company secure and retain the services of eligible award recipients,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incentives for such persons to exert maximum efforts for the success of the Company and any Affiliate, and provide a means by which the eligible recipients may benefit from increases in value of the Common Stock.</w:t>
      </w:r>
    </w:p>
    <w:p>
      <w:pPr>
        <w:spacing w:after="0" w:line="81" w:lineRule="exact"/>
        <w:rPr>
          <w:rFonts w:ascii="Arial" w:cs="Arial" w:eastAsia="Arial" w:hAnsi="Arial"/>
          <w:sz w:val="18"/>
          <w:szCs w:val="18"/>
          <w:b w:val="1"/>
          <w:bCs w:val="1"/>
          <w:color w:val="auto"/>
        </w:rPr>
      </w:pPr>
    </w:p>
    <w:p>
      <w:pPr>
        <w:ind w:left="460" w:hanging="452"/>
        <w:spacing w:after="0"/>
        <w:tabs>
          <w:tab w:leader="none" w:pos="4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80" w:firstLine="464"/>
        <w:spacing w:after="0" w:line="282" w:lineRule="auto"/>
        <w:tabs>
          <w:tab w:leader="none" w:pos="711"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The Board may delegate administration of the Plan to a Committee or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in Section 2(c).</w:t>
      </w:r>
    </w:p>
    <w:p>
      <w:pPr>
        <w:spacing w:after="0" w:line="53" w:lineRule="exact"/>
        <w:rPr>
          <w:rFonts w:ascii="Arial" w:cs="Arial" w:eastAsia="Arial" w:hAnsi="Arial"/>
          <w:sz w:val="18"/>
          <w:szCs w:val="18"/>
          <w:b w:val="1"/>
          <w:bCs w:val="1"/>
          <w:color w:val="auto"/>
        </w:rPr>
      </w:pPr>
    </w:p>
    <w:p>
      <w:pPr>
        <w:ind w:left="720" w:hanging="256"/>
        <w:spacing w:after="0"/>
        <w:tabs>
          <w:tab w:leader="none" w:pos="720"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121" w:lineRule="exact"/>
        <w:rPr>
          <w:sz w:val="20"/>
          <w:szCs w:val="20"/>
          <w:color w:val="auto"/>
        </w:rPr>
      </w:pPr>
    </w:p>
    <w:p>
      <w:pPr>
        <w:ind w:left="1140" w:hanging="219"/>
        <w:spacing w:after="0"/>
        <w:tabs>
          <w:tab w:leader="none" w:pos="1140" w:val="left"/>
        </w:tabs>
        <w:numPr>
          <w:ilvl w:val="1"/>
          <w:numId w:val="257"/>
        </w:numPr>
        <w:rPr>
          <w:rFonts w:ascii="Arial" w:cs="Arial" w:eastAsia="Arial" w:hAnsi="Arial"/>
          <w:sz w:val="17"/>
          <w:szCs w:val="17"/>
          <w:b w:val="1"/>
          <w:bCs w:val="1"/>
          <w:color w:val="auto"/>
        </w:rPr>
      </w:pPr>
      <w:r>
        <w:rPr>
          <w:rFonts w:ascii="Arial" w:cs="Arial" w:eastAsia="Arial" w:hAnsi="Arial"/>
          <w:sz w:val="17"/>
          <w:szCs w:val="17"/>
          <w:color w:val="auto"/>
        </w:rPr>
        <w:t>To determine: (A) who will be granted Awards; (B) when and how each Award will be granted; (C) what type of Award will be granted;</w:t>
      </w:r>
    </w:p>
    <w:p>
      <w:pPr>
        <w:spacing w:after="0" w:line="34" w:lineRule="exact"/>
        <w:rPr>
          <w:rFonts w:ascii="Arial" w:cs="Arial" w:eastAsia="Arial" w:hAnsi="Arial"/>
          <w:sz w:val="17"/>
          <w:szCs w:val="17"/>
          <w:b w:val="1"/>
          <w:bCs w:val="1"/>
          <w:color w:val="auto"/>
        </w:rPr>
      </w:pPr>
    </w:p>
    <w:p>
      <w:pPr>
        <w:jc w:val="both"/>
        <w:ind w:right="140" w:firstLine="8"/>
        <w:spacing w:after="0" w:line="255" w:lineRule="auto"/>
        <w:tabs>
          <w:tab w:leader="none" w:pos="29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82" w:lineRule="exact"/>
        <w:rPr>
          <w:rFonts w:ascii="Arial" w:cs="Arial" w:eastAsia="Arial" w:hAnsi="Arial"/>
          <w:sz w:val="18"/>
          <w:szCs w:val="18"/>
          <w:color w:val="auto"/>
        </w:rPr>
      </w:pPr>
    </w:p>
    <w:p>
      <w:pPr>
        <w:jc w:val="both"/>
        <w:ind w:right="20" w:firstLine="921"/>
        <w:spacing w:after="0" w:line="259" w:lineRule="auto"/>
        <w:tabs>
          <w:tab w:leader="none" w:pos="1178" w:val="left"/>
        </w:tabs>
        <w:numPr>
          <w:ilvl w:val="1"/>
          <w:numId w:val="258"/>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78" w:lineRule="exact"/>
        <w:rPr>
          <w:rFonts w:ascii="Arial" w:cs="Arial" w:eastAsia="Arial" w:hAnsi="Arial"/>
          <w:sz w:val="18"/>
          <w:szCs w:val="18"/>
          <w:b w:val="1"/>
          <w:bCs w:val="1"/>
          <w:color w:val="auto"/>
        </w:rPr>
      </w:pPr>
    </w:p>
    <w:p>
      <w:pPr>
        <w:ind w:left="1240" w:hanging="319"/>
        <w:spacing w:after="0"/>
        <w:tabs>
          <w:tab w:leader="none" w:pos="1240" w:val="left"/>
        </w:tabs>
        <w:numPr>
          <w:ilvl w:val="1"/>
          <w:numId w:val="258"/>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98" w:name="page299"/>
    <w:bookmarkEnd w:id="298"/>
    <w:p>
      <w:pPr>
        <w:ind w:left="-8" w:right="380" w:firstLine="921"/>
        <w:spacing w:after="0" w:line="277" w:lineRule="auto"/>
        <w:tabs>
          <w:tab w:leader="none" w:pos="1210"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accelerate, in whole or in part, the time at which an Award may be exercised or vest (or the time at which cash or shares of Common Stock may be issued in settlement thereof).</w:t>
      </w:r>
    </w:p>
    <w:p>
      <w:pPr>
        <w:spacing w:after="0" w:line="62" w:lineRule="exact"/>
        <w:rPr>
          <w:rFonts w:ascii="Arial" w:cs="Arial" w:eastAsia="Arial" w:hAnsi="Arial"/>
          <w:sz w:val="18"/>
          <w:szCs w:val="18"/>
          <w:b w:val="1"/>
          <w:bCs w:val="1"/>
          <w:color w:val="auto"/>
        </w:rPr>
      </w:pPr>
    </w:p>
    <w:p>
      <w:pPr>
        <w:ind w:left="-8" w:right="60" w:firstLine="921"/>
        <w:spacing w:after="0" w:line="264" w:lineRule="auto"/>
        <w:tabs>
          <w:tab w:leader="none" w:pos="1160"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an Award Agreement, suspension or termination of the Plan will not impair a Participant’s rights under the Participant’s then-outstanding Award without the Participant’s written consent, except as provided in subsection (viii) below.</w:t>
      </w:r>
    </w:p>
    <w:p>
      <w:pPr>
        <w:spacing w:after="0" w:line="73" w:lineRule="exact"/>
        <w:rPr>
          <w:rFonts w:ascii="Arial" w:cs="Arial" w:eastAsia="Arial" w:hAnsi="Arial"/>
          <w:sz w:val="18"/>
          <w:szCs w:val="18"/>
          <w:b w:val="1"/>
          <w:bCs w:val="1"/>
          <w:color w:val="auto"/>
        </w:rPr>
      </w:pPr>
    </w:p>
    <w:p>
      <w:pPr>
        <w:ind w:left="-8" w:right="20" w:firstLine="921"/>
        <w:spacing w:after="0" w:line="285" w:lineRule="auto"/>
        <w:tabs>
          <w:tab w:leader="none" w:pos="1210" w:val="left"/>
        </w:tabs>
        <w:numPr>
          <w:ilvl w:val="1"/>
          <w:numId w:val="259"/>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w:t>
      </w:r>
    </w:p>
    <w:p>
      <w:pPr>
        <w:spacing w:after="0" w:line="2" w:lineRule="exact"/>
        <w:rPr>
          <w:rFonts w:ascii="Arial" w:cs="Arial" w:eastAsia="Arial" w:hAnsi="Arial"/>
          <w:sz w:val="16"/>
          <w:szCs w:val="16"/>
          <w:b w:val="1"/>
          <w:bCs w:val="1"/>
          <w:color w:val="auto"/>
        </w:rPr>
      </w:pPr>
    </w:p>
    <w:p>
      <w:pPr>
        <w:ind w:left="-8" w:right="20" w:firstLine="8"/>
        <w:spacing w:after="0" w:line="252" w:lineRule="auto"/>
        <w:tabs>
          <w:tab w:leader="none" w:pos="28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provided in the Plan (including subsection (viii) below) or an Award Agreement, no amendment of the Plan will impair a Participant’s rights under an outstanding Award unless (1) the Company requests the consent of the affected Participant, and (2) such Participant consents in writing.</w:t>
      </w:r>
    </w:p>
    <w:p>
      <w:pPr>
        <w:spacing w:after="0" w:line="86" w:lineRule="exact"/>
        <w:rPr>
          <w:rFonts w:ascii="Arial" w:cs="Arial" w:eastAsia="Arial" w:hAnsi="Arial"/>
          <w:sz w:val="18"/>
          <w:szCs w:val="18"/>
          <w:color w:val="auto"/>
        </w:rPr>
      </w:pPr>
    </w:p>
    <w:p>
      <w:pPr>
        <w:ind w:left="-8" w:right="20" w:firstLine="921"/>
        <w:spacing w:after="0" w:line="277" w:lineRule="auto"/>
        <w:tabs>
          <w:tab w:leader="none" w:pos="1260" w:val="left"/>
        </w:tabs>
        <w:numPr>
          <w:ilvl w:val="1"/>
          <w:numId w:val="260"/>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62" w:lineRule="exact"/>
        <w:rPr>
          <w:rFonts w:ascii="Arial" w:cs="Arial" w:eastAsia="Arial" w:hAnsi="Arial"/>
          <w:sz w:val="18"/>
          <w:szCs w:val="18"/>
          <w:b w:val="1"/>
          <w:bCs w:val="1"/>
          <w:color w:val="auto"/>
        </w:rPr>
      </w:pPr>
    </w:p>
    <w:p>
      <w:pPr>
        <w:ind w:left="-8" w:firstLine="921"/>
        <w:spacing w:after="0" w:line="288" w:lineRule="auto"/>
        <w:tabs>
          <w:tab w:leader="none" w:pos="1310" w:val="left"/>
        </w:tabs>
        <w:numPr>
          <w:ilvl w:val="1"/>
          <w:numId w:val="260"/>
        </w:numPr>
        <w:rPr>
          <w:rFonts w:ascii="Arial" w:cs="Arial" w:eastAsia="Arial" w:hAnsi="Arial"/>
          <w:sz w:val="16"/>
          <w:szCs w:val="16"/>
          <w:b w:val="1"/>
          <w:bCs w:val="1"/>
          <w:color w:val="auto"/>
        </w:rPr>
      </w:pPr>
      <w:r>
        <w:rPr>
          <w:rFonts w:ascii="Arial" w:cs="Arial" w:eastAsia="Arial" w:hAnsi="Arial"/>
          <w:sz w:val="16"/>
          <w:szCs w:val="16"/>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299" w:name="page300"/>
    <w:bookmarkEnd w:id="299"/>
    <w:p>
      <w:pPr>
        <w:ind w:left="-8" w:right="180" w:firstLine="921"/>
        <w:spacing w:after="0" w:line="277" w:lineRule="auto"/>
        <w:tabs>
          <w:tab w:leader="none" w:pos="1210" w:val="left"/>
        </w:tabs>
        <w:numPr>
          <w:ilvl w:val="2"/>
          <w:numId w:val="26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Generally, to exercise such powers and to perform such acts as the Board deems necessary or expedient to promote the best interests of the Company and that are not in conflict with the provisions of the Plan or Awards.</w:t>
      </w:r>
    </w:p>
    <w:p>
      <w:pPr>
        <w:spacing w:after="0" w:line="62" w:lineRule="exact"/>
        <w:rPr>
          <w:rFonts w:ascii="Arial" w:cs="Arial" w:eastAsia="Arial" w:hAnsi="Arial"/>
          <w:sz w:val="18"/>
          <w:szCs w:val="18"/>
          <w:b w:val="1"/>
          <w:bCs w:val="1"/>
          <w:color w:val="auto"/>
        </w:rPr>
      </w:pPr>
    </w:p>
    <w:p>
      <w:pPr>
        <w:ind w:left="-8" w:right="260" w:firstLine="921"/>
        <w:spacing w:after="0" w:line="259" w:lineRule="auto"/>
        <w:tabs>
          <w:tab w:leader="none" w:pos="1160" w:val="left"/>
        </w:tabs>
        <w:numPr>
          <w:ilvl w:val="2"/>
          <w:numId w:val="261"/>
        </w:numPr>
        <w:rPr>
          <w:rFonts w:ascii="Arial" w:cs="Arial" w:eastAsia="Arial" w:hAnsi="Arial"/>
          <w:sz w:val="18"/>
          <w:szCs w:val="18"/>
          <w:b w:val="1"/>
          <w:bCs w:val="1"/>
          <w:color w:val="auto"/>
        </w:rPr>
      </w:pPr>
      <w:r>
        <w:rPr>
          <w:rFonts w:ascii="Arial" w:cs="Arial" w:eastAsia="Arial" w:hAnsi="Arial"/>
          <w:sz w:val="18"/>
          <w:szCs w:val="18"/>
          <w:color w:val="auto"/>
        </w:rPr>
        <w:t>To adopt such rules, procedures and sub-plans related to the operation and administration of the Plan as are necessary or appropriate under local laws and regulations to permit participation in the Plan by Employees, Directors or Consultants who are foreign nationals or employed outside the United States (provided that Board approval will not be necessary for immaterial modifications to the Plan or any Award Agreement made to ensure or facilitate compliance with the laws or regulations of the relevant foreign jurisdiction).</w:t>
      </w:r>
    </w:p>
    <w:p>
      <w:pPr>
        <w:spacing w:after="0" w:line="78" w:lineRule="exact"/>
        <w:rPr>
          <w:rFonts w:ascii="Arial" w:cs="Arial" w:eastAsia="Arial" w:hAnsi="Arial"/>
          <w:sz w:val="18"/>
          <w:szCs w:val="18"/>
          <w:b w:val="1"/>
          <w:bCs w:val="1"/>
          <w:color w:val="auto"/>
        </w:rPr>
      </w:pPr>
    </w:p>
    <w:p>
      <w:pPr>
        <w:ind w:left="-8" w:firstLine="921"/>
        <w:spacing w:after="0" w:line="286" w:lineRule="auto"/>
        <w:tabs>
          <w:tab w:leader="none" w:pos="1210" w:val="left"/>
        </w:tabs>
        <w:numPr>
          <w:ilvl w:val="2"/>
          <w:numId w:val="261"/>
        </w:numPr>
        <w:rPr>
          <w:rFonts w:ascii="Arial" w:cs="Arial" w:eastAsia="Arial" w:hAnsi="Arial"/>
          <w:sz w:val="16"/>
          <w:szCs w:val="16"/>
          <w:b w:val="1"/>
          <w:bCs w:val="1"/>
          <w:color w:val="auto"/>
        </w:rPr>
      </w:pPr>
      <w:r>
        <w:rPr>
          <w:rFonts w:ascii="Arial" w:cs="Arial" w:eastAsia="Arial" w:hAnsi="Arial"/>
          <w:sz w:val="16"/>
          <w:szCs w:val="16"/>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 (2) 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w:t>
      </w:r>
    </w:p>
    <w:p>
      <w:pPr>
        <w:spacing w:after="0" w:line="1" w:lineRule="exact"/>
        <w:rPr>
          <w:rFonts w:ascii="Arial" w:cs="Arial" w:eastAsia="Arial" w:hAnsi="Arial"/>
          <w:sz w:val="16"/>
          <w:szCs w:val="16"/>
          <w:b w:val="1"/>
          <w:bCs w:val="1"/>
          <w:color w:val="auto"/>
        </w:rPr>
      </w:pPr>
    </w:p>
    <w:p>
      <w:pPr>
        <w:ind w:left="-8" w:right="500" w:firstLine="8"/>
        <w:spacing w:after="0" w:line="261" w:lineRule="auto"/>
        <w:tabs>
          <w:tab w:leader="none" w:pos="24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granted under the Plan or another equity or compensatory plan of the Company; or (C) any other action that is treated as a repricing under generally accepted accounting principles.</w:t>
      </w:r>
    </w:p>
    <w:p>
      <w:pPr>
        <w:spacing w:after="0" w:line="71" w:lineRule="exact"/>
        <w:rPr>
          <w:rFonts w:ascii="Arial" w:cs="Arial" w:eastAsia="Arial" w:hAnsi="Arial"/>
          <w:sz w:val="18"/>
          <w:szCs w:val="18"/>
          <w:color w:val="auto"/>
        </w:rPr>
      </w:pPr>
    </w:p>
    <w:p>
      <w:pPr>
        <w:ind w:left="692" w:hanging="236"/>
        <w:spacing w:after="0"/>
        <w:tabs>
          <w:tab w:leader="none" w:pos="692"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117" w:lineRule="exact"/>
        <w:rPr>
          <w:rFonts w:ascii="Arial" w:cs="Arial" w:eastAsia="Arial" w:hAnsi="Arial"/>
          <w:sz w:val="18"/>
          <w:szCs w:val="18"/>
          <w:b w:val="1"/>
          <w:bCs w:val="1"/>
          <w:color w:val="auto"/>
        </w:rPr>
      </w:pPr>
    </w:p>
    <w:p>
      <w:pPr>
        <w:ind w:left="-8" w:right="20" w:firstLine="921"/>
        <w:spacing w:after="0" w:line="255" w:lineRule="auto"/>
        <w:tabs>
          <w:tab w:leader="none" w:pos="1120" w:val="left"/>
        </w:tabs>
        <w:numPr>
          <w:ilvl w:val="2"/>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Board may delegate some or all of the administration of the Plan to a Committee or Committees. If administration of the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81" w:lineRule="exact"/>
        <w:rPr>
          <w:rFonts w:ascii="Arial" w:cs="Arial" w:eastAsia="Arial" w:hAnsi="Arial"/>
          <w:sz w:val="18"/>
          <w:szCs w:val="18"/>
          <w:b w:val="1"/>
          <w:bCs w:val="1"/>
          <w:color w:val="auto"/>
        </w:rPr>
      </w:pPr>
    </w:p>
    <w:p>
      <w:pPr>
        <w:ind w:left="1172" w:hanging="259"/>
        <w:spacing w:after="0"/>
        <w:tabs>
          <w:tab w:leader="none" w:pos="1172" w:val="left"/>
        </w:tabs>
        <w:numPr>
          <w:ilvl w:val="2"/>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 16b-3 Compliance. </w:t>
      </w:r>
      <w:r>
        <w:rPr>
          <w:rFonts w:ascii="Arial" w:cs="Arial" w:eastAsia="Arial" w:hAnsi="Arial"/>
          <w:sz w:val="17"/>
          <w:szCs w:val="17"/>
          <w:color w:val="auto"/>
        </w:rPr>
        <w:t>The Committee may consist solely of two or more Non-Employee Directors, in accordance with Rule 16b-3.</w:t>
      </w:r>
    </w:p>
    <w:p>
      <w:pPr>
        <w:spacing w:after="0" w:line="128" w:lineRule="exact"/>
        <w:rPr>
          <w:rFonts w:ascii="Arial" w:cs="Arial" w:eastAsia="Arial" w:hAnsi="Arial"/>
          <w:sz w:val="17"/>
          <w:szCs w:val="17"/>
          <w:b w:val="1"/>
          <w:bCs w:val="1"/>
          <w:color w:val="auto"/>
        </w:rPr>
      </w:pPr>
    </w:p>
    <w:p>
      <w:pPr>
        <w:ind w:left="-8" w:right="40" w:firstLine="464"/>
        <w:spacing w:after="0" w:line="261" w:lineRule="auto"/>
        <w:tabs>
          <w:tab w:leader="none" w:pos="713"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Delegation to an Officer. </w:t>
      </w:r>
      <w:r>
        <w:rPr>
          <w:rFonts w:ascii="Arial" w:cs="Arial" w:eastAsia="Arial" w:hAnsi="Arial"/>
          <w:sz w:val="18"/>
          <w:szCs w:val="18"/>
          <w:color w:val="auto"/>
        </w:rPr>
        <w:t>The Board may delegate to one (1) or more Officers the authority to do one or both of the following (i) designate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resolutions regarding such delegation will</w:t>
      </w:r>
    </w:p>
    <w:p>
      <w:pPr>
        <w:spacing w:after="0" w:line="11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300" w:name="page301"/>
    <w:bookmarkEnd w:id="300"/>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13(y)(iii) below.</w:t>
      </w:r>
    </w:p>
    <w:p>
      <w:pPr>
        <w:spacing w:after="0" w:line="42" w:lineRule="exact"/>
        <w:rPr>
          <w:sz w:val="20"/>
          <w:szCs w:val="20"/>
          <w:color w:val="auto"/>
        </w:rPr>
      </w:pPr>
    </w:p>
    <w:p>
      <w:pPr>
        <w:ind w:right="140" w:firstLine="464"/>
        <w:spacing w:after="0" w:line="282" w:lineRule="auto"/>
        <w:tabs>
          <w:tab w:leader="none" w:pos="701" w:val="left"/>
        </w:tabs>
        <w:numPr>
          <w:ilvl w:val="1"/>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will not be subject to review by</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and will be final, binding and conclusive on all persons.</w:t>
      </w:r>
    </w:p>
    <w:p>
      <w:pPr>
        <w:spacing w:after="0" w:line="67" w:lineRule="exact"/>
        <w:rPr>
          <w:rFonts w:ascii="Arial" w:cs="Arial" w:eastAsia="Arial" w:hAnsi="Arial"/>
          <w:sz w:val="18"/>
          <w:szCs w:val="18"/>
          <w:b w:val="1"/>
          <w:bCs w:val="1"/>
          <w:color w:val="auto"/>
        </w:rPr>
      </w:pPr>
    </w:p>
    <w:p>
      <w:pPr>
        <w:ind w:left="460" w:hanging="452"/>
        <w:spacing w:after="0"/>
        <w:tabs>
          <w:tab w:leader="none" w:pos="4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p>
    <w:p>
      <w:pPr>
        <w:spacing w:after="0" w:line="121" w:lineRule="exact"/>
        <w:rPr>
          <w:rFonts w:ascii="Arial" w:cs="Arial" w:eastAsia="Arial" w:hAnsi="Arial"/>
          <w:sz w:val="18"/>
          <w:szCs w:val="18"/>
          <w:b w:val="1"/>
          <w:bCs w:val="1"/>
          <w:color w:val="auto"/>
        </w:rPr>
      </w:pPr>
    </w:p>
    <w:p>
      <w:pPr>
        <w:ind w:firstLine="921"/>
        <w:spacing w:after="0" w:line="272" w:lineRule="auto"/>
        <w:tabs>
          <w:tab w:leader="none" w:pos="1128" w:val="left"/>
        </w:tabs>
        <w:numPr>
          <w:ilvl w:val="2"/>
          <w:numId w:val="264"/>
        </w:numPr>
        <w:rPr>
          <w:rFonts w:ascii="Arial" w:cs="Arial" w:eastAsia="Arial" w:hAnsi="Arial"/>
          <w:sz w:val="17"/>
          <w:szCs w:val="17"/>
          <w:b w:val="1"/>
          <w:bCs w:val="1"/>
          <w:color w:val="auto"/>
        </w:rPr>
      </w:pPr>
      <w:r>
        <w:rPr>
          <w:rFonts w:ascii="Arial" w:cs="Arial" w:eastAsia="Arial" w:hAnsi="Arial"/>
          <w:sz w:val="17"/>
          <w:szCs w:val="17"/>
          <w:color w:val="auto"/>
        </w:rPr>
        <w:t>Subject to Section 9(a) relating to Capitalization Adjustments, and the following sentence regarding the annual increase, the aggregate number of shares of Common Stock that may be issued pursuant to Stock Awards will not exceed 3,000,000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In addition, the Share Reserve will automatically increase on January 1st of each calendar year, beginning on January 1 in the calendar year following the calendar year in which the IPO Date occurs and ending on (and including) January 1, 2028 (each, an “</w:t>
      </w:r>
      <w:r>
        <w:rPr>
          <w:rFonts w:ascii="Arial" w:cs="Arial" w:eastAsia="Arial" w:hAnsi="Arial"/>
          <w:sz w:val="17"/>
          <w:szCs w:val="17"/>
          <w:b w:val="1"/>
          <w:bCs w:val="1"/>
          <w:i w:val="1"/>
          <w:iCs w:val="1"/>
          <w:color w:val="auto"/>
        </w:rPr>
        <w:t>Evergreen Date</w:t>
      </w:r>
      <w:r>
        <w:rPr>
          <w:rFonts w:ascii="Arial" w:cs="Arial" w:eastAsia="Arial" w:hAnsi="Arial"/>
          <w:sz w:val="17"/>
          <w:szCs w:val="17"/>
          <w:color w:val="auto"/>
        </w:rPr>
        <w:t>”) in an amount equal to five percent (5%) of the total number of shares of Capital Stock outstanding on the last day of the preceding year. Notwithstanding the foregoing, the Board may act prior to the Evergreen Date of a given year to provide that there will be no increase in the Share Reserve for such year or that the increase in the Share Reserve for such year will be a lesser number of shares of Common Stock than would otherwise occur pursuant to the preceding sentence.</w:t>
      </w:r>
    </w:p>
    <w:p>
      <w:pPr>
        <w:spacing w:after="0" w:line="70" w:lineRule="exact"/>
        <w:rPr>
          <w:sz w:val="20"/>
          <w:szCs w:val="20"/>
          <w:color w:val="auto"/>
        </w:rPr>
      </w:pPr>
    </w:p>
    <w:p>
      <w:pPr>
        <w:ind w:right="80" w:firstLine="921"/>
        <w:spacing w:after="0" w:line="286" w:lineRule="auto"/>
        <w:tabs>
          <w:tab w:leader="none" w:pos="1128" w:val="left"/>
        </w:tabs>
        <w:numPr>
          <w:ilvl w:val="1"/>
          <w:numId w:val="265"/>
        </w:numPr>
        <w:rPr>
          <w:rFonts w:ascii="Arial" w:cs="Arial" w:eastAsia="Arial" w:hAnsi="Arial"/>
          <w:sz w:val="17"/>
          <w:szCs w:val="17"/>
          <w:b w:val="1"/>
          <w:bCs w:val="1"/>
          <w:color w:val="auto"/>
        </w:rPr>
      </w:pPr>
      <w:r>
        <w:rPr>
          <w:rFonts w:ascii="Arial" w:cs="Arial" w:eastAsia="Arial" w:hAnsi="Arial"/>
          <w:sz w:val="17"/>
          <w:szCs w:val="17"/>
          <w:color w:val="auto"/>
        </w:rPr>
        <w:t>For clarity, the Share Reserve in this Section 3(a) is a limitation on the number of shares of Common Stock that may be issued pursuant to the Plan. As a single share may be subject to grant more than once (e.g., if a share subject to a Stock Award is forfeited, it may be made subject to grant again as provided in Section 3(b) below), the Share Reserve is not a limit on the number of Stock Awards that can be granted.</w:t>
      </w:r>
    </w:p>
    <w:p>
      <w:pPr>
        <w:spacing w:after="0" w:line="57" w:lineRule="exact"/>
        <w:rPr>
          <w:rFonts w:ascii="Arial" w:cs="Arial" w:eastAsia="Arial" w:hAnsi="Arial"/>
          <w:sz w:val="17"/>
          <w:szCs w:val="17"/>
          <w:b w:val="1"/>
          <w:bCs w:val="1"/>
          <w:color w:val="auto"/>
        </w:rPr>
      </w:pPr>
    </w:p>
    <w:p>
      <w:pPr>
        <w:jc w:val="both"/>
        <w:ind w:right="340" w:firstLine="921"/>
        <w:spacing w:after="0" w:line="264" w:lineRule="auto"/>
        <w:tabs>
          <w:tab w:leader="none" w:pos="1178" w:val="left"/>
        </w:tabs>
        <w:numPr>
          <w:ilvl w:val="1"/>
          <w:numId w:val="265"/>
        </w:numPr>
        <w:rPr>
          <w:rFonts w:ascii="Arial" w:cs="Arial" w:eastAsia="Arial" w:hAnsi="Arial"/>
          <w:sz w:val="18"/>
          <w:szCs w:val="18"/>
          <w:b w:val="1"/>
          <w:bCs w:val="1"/>
          <w:color w:val="auto"/>
        </w:rPr>
      </w:pPr>
      <w:r>
        <w:rPr>
          <w:rFonts w:ascii="Arial" w:cs="Arial" w:eastAsia="Arial" w:hAnsi="Arial"/>
          <w:sz w:val="18"/>
          <w:szCs w:val="18"/>
          <w:color w:val="auto"/>
        </w:rPr>
        <w:t>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69" w:lineRule="exact"/>
        <w:rPr>
          <w:rFonts w:ascii="Arial" w:cs="Arial" w:eastAsia="Arial" w:hAnsi="Arial"/>
          <w:sz w:val="18"/>
          <w:szCs w:val="18"/>
          <w:b w:val="1"/>
          <w:bCs w:val="1"/>
          <w:color w:val="auto"/>
        </w:rPr>
      </w:pPr>
    </w:p>
    <w:p>
      <w:pPr>
        <w:ind w:right="100" w:firstLine="464"/>
        <w:spacing w:after="0" w:line="258" w:lineRule="auto"/>
        <w:tabs>
          <w:tab w:leader="none" w:pos="721"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Reversion of Shares to the Share Reserve. </w:t>
      </w:r>
      <w:r>
        <w:rPr>
          <w:rFonts w:ascii="Arial" w:cs="Arial" w:eastAsia="Arial" w:hAnsi="Arial"/>
          <w:sz w:val="18"/>
          <w:szCs w:val="18"/>
          <w:color w:val="auto"/>
        </w:rPr>
        <w:t>If a Stock Award or any portion thereof (i) expires or otherwise terminates without all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by such Stock Award having been issued or (ii) is settled in cash (</w:t>
      </w:r>
      <w:r>
        <w:rPr>
          <w:rFonts w:ascii="Arial" w:cs="Arial" w:eastAsia="Arial" w:hAnsi="Arial"/>
          <w:sz w:val="18"/>
          <w:szCs w:val="18"/>
          <w:i w:val="1"/>
          <w:iCs w:val="1"/>
          <w:color w:val="auto"/>
        </w:rPr>
        <w:t>i.e.</w:t>
      </w:r>
      <w:r>
        <w:rPr>
          <w:rFonts w:ascii="Arial" w:cs="Arial" w:eastAsia="Arial" w:hAnsi="Arial"/>
          <w:sz w:val="18"/>
          <w:szCs w:val="18"/>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01" w:name="page302"/>
    <w:bookmarkEnd w:id="301"/>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69" w:lineRule="exact"/>
        <w:rPr>
          <w:sz w:val="20"/>
          <w:szCs w:val="20"/>
          <w:color w:val="auto"/>
        </w:rPr>
      </w:pPr>
    </w:p>
    <w:p>
      <w:pPr>
        <w:jc w:val="both"/>
        <w:ind w:firstLine="464"/>
        <w:spacing w:after="0" w:line="266" w:lineRule="auto"/>
        <w:tabs>
          <w:tab w:leader="none" w:pos="701" w:val="left"/>
        </w:tabs>
        <w:numPr>
          <w:ilvl w:val="1"/>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Limit. </w:t>
      </w:r>
      <w:r>
        <w:rPr>
          <w:rFonts w:ascii="Arial" w:cs="Arial" w:eastAsia="Arial" w:hAnsi="Arial"/>
          <w:sz w:val="18"/>
          <w:szCs w:val="18"/>
          <w:color w:val="auto"/>
        </w:rPr>
        <w:t>Subject to the provisions of Section 9(a) relating to Capitalization Adjustments, the aggregate maximum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that may be issued pursuant to the exercise of Incentive Stock Options will be will be a number of shares of Common Stock equal to three (3) multiplied by the Share Reserve.</w:t>
      </w:r>
    </w:p>
    <w:p>
      <w:pPr>
        <w:spacing w:after="0" w:line="68" w:lineRule="exact"/>
        <w:rPr>
          <w:rFonts w:ascii="Arial" w:cs="Arial" w:eastAsia="Arial" w:hAnsi="Arial"/>
          <w:sz w:val="18"/>
          <w:szCs w:val="18"/>
          <w:b w:val="1"/>
          <w:bCs w:val="1"/>
          <w:color w:val="auto"/>
        </w:rPr>
      </w:pPr>
    </w:p>
    <w:p>
      <w:pPr>
        <w:ind w:right="160" w:firstLine="464"/>
        <w:spacing w:after="0" w:line="258" w:lineRule="auto"/>
        <w:tabs>
          <w:tab w:leader="none" w:pos="721" w:val="left"/>
        </w:tabs>
        <w:numPr>
          <w:ilvl w:val="1"/>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on Compensation of Non-Employee Directors. </w:t>
      </w:r>
      <w:r>
        <w:rPr>
          <w:rFonts w:ascii="Arial" w:cs="Arial" w:eastAsia="Arial" w:hAnsi="Arial"/>
          <w:sz w:val="18"/>
          <w:szCs w:val="18"/>
          <w:color w:val="auto"/>
        </w:rPr>
        <w:t>The maximum number of shares of Common Stock subject to Stock Awards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Plan or otherwise during any one year to any Non-Employee Director, taken together with any cash fees paid by the Company to such Non-Employee Director during such year for service on the Board, will not exceed U.S. $750,000 in total value (calculating the value of any such Stock Awards based on the grant date fair value of such Stock Awards for financial reporting purposes), or, with respect to the calendar year in which a Non-Employee Director is first appointed or elected to the Board, $1,500,000.</w:t>
      </w:r>
    </w:p>
    <w:p>
      <w:pPr>
        <w:spacing w:after="0" w:line="75" w:lineRule="exact"/>
        <w:rPr>
          <w:rFonts w:ascii="Arial" w:cs="Arial" w:eastAsia="Arial" w:hAnsi="Arial"/>
          <w:sz w:val="18"/>
          <w:szCs w:val="18"/>
          <w:b w:val="1"/>
          <w:bCs w:val="1"/>
          <w:color w:val="auto"/>
        </w:rPr>
      </w:pPr>
    </w:p>
    <w:p>
      <w:pPr>
        <w:ind w:right="480" w:firstLine="464"/>
        <w:spacing w:after="0" w:line="282" w:lineRule="auto"/>
        <w:tabs>
          <w:tab w:leader="none" w:pos="701" w:val="left"/>
        </w:tabs>
        <w:numPr>
          <w:ilvl w:val="1"/>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67" w:lineRule="exact"/>
        <w:rPr>
          <w:rFonts w:ascii="Arial" w:cs="Arial" w:eastAsia="Arial" w:hAnsi="Arial"/>
          <w:sz w:val="18"/>
          <w:szCs w:val="18"/>
          <w:b w:val="1"/>
          <w:bCs w:val="1"/>
          <w:color w:val="auto"/>
        </w:rPr>
      </w:pPr>
    </w:p>
    <w:p>
      <w:pPr>
        <w:ind w:left="460" w:hanging="452"/>
        <w:spacing w:after="0"/>
        <w:tabs>
          <w:tab w:leader="none" w:pos="4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LIGIBILITY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40" w:firstLine="464"/>
        <w:spacing w:after="0" w:line="272" w:lineRule="auto"/>
        <w:tabs>
          <w:tab w:leader="none" w:pos="711" w:val="left"/>
        </w:tabs>
        <w:numPr>
          <w:ilvl w:val="1"/>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Eligibility for Specific Stock Awards. </w:t>
      </w:r>
      <w:r>
        <w:rPr>
          <w:rFonts w:ascii="Arial" w:cs="Arial" w:eastAsia="Arial" w:hAnsi="Arial"/>
          <w:sz w:val="17"/>
          <w:szCs w:val="17"/>
          <w:color w:val="auto"/>
        </w:rPr>
        <w:t>Incentive Stock Options may be granted only to employees of the Company or a “parent 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“subsidiary corporation” thereof (as such terms are defined in Sections 424(e) and 424(f) of the Code). Stock Awards other than Incentive Stock Options may be granted to Employees, Directors and Consultants; </w:t>
      </w:r>
      <w:r>
        <w:rPr>
          <w:rFonts w:ascii="Arial" w:cs="Arial" w:eastAsia="Arial" w:hAnsi="Arial"/>
          <w:sz w:val="17"/>
          <w:szCs w:val="17"/>
          <w:i w:val="1"/>
          <w:iCs w:val="1"/>
          <w:color w:val="auto"/>
        </w:rPr>
        <w:t>provided, however</w:t>
      </w:r>
      <w:r>
        <w:rPr>
          <w:rFonts w:ascii="Arial" w:cs="Arial" w:eastAsia="Arial" w:hAnsi="Arial"/>
          <w:sz w:val="17"/>
          <w:szCs w:val="17"/>
          <w:color w:val="auto"/>
        </w:rPr>
        <w:t>,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64" w:lineRule="exact"/>
        <w:rPr>
          <w:rFonts w:ascii="Arial" w:cs="Arial" w:eastAsia="Arial" w:hAnsi="Arial"/>
          <w:sz w:val="17"/>
          <w:szCs w:val="17"/>
          <w:b w:val="1"/>
          <w:bCs w:val="1"/>
          <w:color w:val="auto"/>
        </w:rPr>
      </w:pPr>
    </w:p>
    <w:p>
      <w:pPr>
        <w:ind w:right="100" w:firstLine="464"/>
        <w:spacing w:after="0" w:line="347" w:lineRule="auto"/>
        <w:tabs>
          <w:tab w:leader="none" w:pos="721" w:val="left"/>
        </w:tabs>
        <w:numPr>
          <w:ilvl w:val="1"/>
          <w:numId w:val="2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 Percent Stockholders. </w:t>
      </w:r>
      <w:r>
        <w:rPr>
          <w:rFonts w:ascii="Arial" w:cs="Arial" w:eastAsia="Arial" w:hAnsi="Arial"/>
          <w:sz w:val="16"/>
          <w:szCs w:val="16"/>
          <w:color w:val="auto"/>
        </w:rPr>
        <w:t>A Ten Percent Stockholder will not be granted an Incentive Stock Option unless the exercise price of such Option is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110% of the Fair Market Value on the date of grant and the Option is not exercisable after the expiration of five years from the date of grant.</w:t>
      </w:r>
    </w:p>
    <w:p>
      <w:pPr>
        <w:spacing w:after="0" w:line="21" w:lineRule="exact"/>
        <w:rPr>
          <w:rFonts w:ascii="Arial" w:cs="Arial" w:eastAsia="Arial" w:hAnsi="Arial"/>
          <w:sz w:val="16"/>
          <w:szCs w:val="16"/>
          <w:b w:val="1"/>
          <w:bCs w:val="1"/>
          <w:color w:val="auto"/>
        </w:rPr>
      </w:pPr>
    </w:p>
    <w:p>
      <w:pPr>
        <w:ind w:left="460" w:hanging="452"/>
        <w:spacing w:after="0"/>
        <w:tabs>
          <w:tab w:leader="none" w:pos="4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Each Option or SAR will be in such form and will contain such terms and conditions as the Board deems appropriate. All Options will be separately designated Incentive Stock Options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02" w:name="page303"/>
    <w:bookmarkEnd w:id="302"/>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Award Agreement will conform to (through incorporation of provisions hereof by reference in the applicable Award Agreement or otherwise) the substance of each of the following provisions:</w:t>
      </w:r>
    </w:p>
    <w:p>
      <w:pPr>
        <w:spacing w:after="0" w:line="81" w:lineRule="exact"/>
        <w:rPr>
          <w:sz w:val="20"/>
          <w:szCs w:val="20"/>
          <w:color w:val="auto"/>
        </w:rPr>
      </w:pPr>
    </w:p>
    <w:p>
      <w:pPr>
        <w:ind w:right="260" w:firstLine="464"/>
        <w:spacing w:after="0" w:line="282" w:lineRule="auto"/>
        <w:tabs>
          <w:tab w:leader="none" w:pos="711"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Stockholders, no Option or SAR will be exercisable after the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 years from the date of its grant or such shorter period specified in the Award Agreement.</w:t>
      </w:r>
    </w:p>
    <w:p>
      <w:pPr>
        <w:spacing w:after="0" w:line="53" w:lineRule="exact"/>
        <w:rPr>
          <w:rFonts w:ascii="Arial" w:cs="Arial" w:eastAsia="Arial" w:hAnsi="Arial"/>
          <w:sz w:val="18"/>
          <w:szCs w:val="18"/>
          <w:b w:val="1"/>
          <w:bCs w:val="1"/>
          <w:color w:val="auto"/>
        </w:rPr>
      </w:pPr>
    </w:p>
    <w:p>
      <w:pPr>
        <w:ind w:firstLine="464"/>
        <w:spacing w:after="0" w:line="256" w:lineRule="auto"/>
        <w:tabs>
          <w:tab w:leader="none" w:pos="721"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Subject to the provisions of Section 4(b) regarding Ten Percent Stockholders, the exercise or strike price of each Option or SAR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79" w:lineRule="exact"/>
        <w:rPr>
          <w:rFonts w:ascii="Arial" w:cs="Arial" w:eastAsia="Arial" w:hAnsi="Arial"/>
          <w:sz w:val="18"/>
          <w:szCs w:val="18"/>
          <w:b w:val="1"/>
          <w:bCs w:val="1"/>
          <w:color w:val="auto"/>
        </w:rPr>
      </w:pPr>
    </w:p>
    <w:p>
      <w:pPr>
        <w:ind w:right="120" w:firstLine="464"/>
        <w:spacing w:after="0" w:line="303" w:lineRule="auto"/>
        <w:tabs>
          <w:tab w:leader="none" w:pos="701" w:val="left"/>
        </w:tabs>
        <w:numPr>
          <w:ilvl w:val="0"/>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for Options. </w:t>
      </w:r>
      <w:r>
        <w:rPr>
          <w:rFonts w:ascii="Arial" w:cs="Arial" w:eastAsia="Arial" w:hAnsi="Arial"/>
          <w:sz w:val="16"/>
          <w:szCs w:val="16"/>
          <w:color w:val="auto"/>
        </w:rPr>
        <w:t>The purchase price of Common Stock acquired pursuant to the exercise of an Option may be paid,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47" w:lineRule="exact"/>
        <w:rPr>
          <w:rFonts w:ascii="Arial" w:cs="Arial" w:eastAsia="Arial" w:hAnsi="Arial"/>
          <w:sz w:val="16"/>
          <w:szCs w:val="16"/>
          <w:b w:val="1"/>
          <w:bCs w:val="1"/>
          <w:color w:val="auto"/>
        </w:rPr>
      </w:pPr>
    </w:p>
    <w:p>
      <w:pPr>
        <w:ind w:left="1140" w:hanging="219"/>
        <w:spacing w:after="0"/>
        <w:tabs>
          <w:tab w:leader="none" w:pos="1140"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17" w:lineRule="exact"/>
        <w:rPr>
          <w:rFonts w:ascii="Arial" w:cs="Arial" w:eastAsia="Arial" w:hAnsi="Arial"/>
          <w:sz w:val="18"/>
          <w:szCs w:val="18"/>
          <w:b w:val="1"/>
          <w:bCs w:val="1"/>
          <w:color w:val="auto"/>
        </w:rPr>
      </w:pPr>
    </w:p>
    <w:p>
      <w:pPr>
        <w:ind w:right="280" w:firstLine="921"/>
        <w:spacing w:after="0" w:line="264" w:lineRule="auto"/>
        <w:tabs>
          <w:tab w:leader="none" w:pos="1178"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73" w:lineRule="exact"/>
        <w:rPr>
          <w:rFonts w:ascii="Arial" w:cs="Arial" w:eastAsia="Arial" w:hAnsi="Arial"/>
          <w:sz w:val="18"/>
          <w:szCs w:val="18"/>
          <w:b w:val="1"/>
          <w:bCs w:val="1"/>
          <w:color w:val="auto"/>
        </w:rPr>
      </w:pPr>
    </w:p>
    <w:p>
      <w:pPr>
        <w:ind w:left="1240" w:hanging="319"/>
        <w:spacing w:after="0"/>
        <w:tabs>
          <w:tab w:leader="none" w:pos="1240"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17" w:lineRule="exact"/>
        <w:rPr>
          <w:rFonts w:ascii="Arial" w:cs="Arial" w:eastAsia="Arial" w:hAnsi="Arial"/>
          <w:sz w:val="18"/>
          <w:szCs w:val="18"/>
          <w:b w:val="1"/>
          <w:bCs w:val="1"/>
          <w:color w:val="auto"/>
        </w:rPr>
      </w:pPr>
    </w:p>
    <w:p>
      <w:pPr>
        <w:ind w:right="160" w:firstLine="921"/>
        <w:spacing w:after="0" w:line="312" w:lineRule="auto"/>
        <w:tabs>
          <w:tab w:leader="none" w:pos="1218" w:val="left"/>
        </w:tabs>
        <w:numPr>
          <w:ilvl w:val="1"/>
          <w:numId w:val="269"/>
        </w:numPr>
        <w:rPr>
          <w:rFonts w:ascii="Arial" w:cs="Arial" w:eastAsia="Arial" w:hAnsi="Arial"/>
          <w:sz w:val="16"/>
          <w:szCs w:val="16"/>
          <w:b w:val="1"/>
          <w:bCs w:val="1"/>
          <w:color w:val="auto"/>
        </w:rPr>
      </w:pPr>
      <w:r>
        <w:rPr>
          <w:rFonts w:ascii="Arial" w:cs="Arial" w:eastAsia="Arial" w:hAnsi="Arial"/>
          <w:sz w:val="16"/>
          <w:szCs w:val="16"/>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will accept a cash or other payment from the Participant to the extent of any remaining balance of the aggregate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03" w:name="page304"/>
    <w:bookmarkEnd w:id="30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w:t>
      </w:r>
    </w:p>
    <w:p>
      <w:pPr>
        <w:ind w:left="300" w:hanging="292"/>
        <w:spacing w:after="0"/>
        <w:tabs>
          <w:tab w:leader="none" w:pos="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shares are delivered to the Participant as a result of such exercise, and (C) shares are withheld to satisfy tax withholding obligations; or</w:t>
      </w:r>
    </w:p>
    <w:p>
      <w:pPr>
        <w:spacing w:after="0" w:line="102" w:lineRule="exact"/>
        <w:rPr>
          <w:rFonts w:ascii="Arial" w:cs="Arial" w:eastAsia="Arial" w:hAnsi="Arial"/>
          <w:sz w:val="18"/>
          <w:szCs w:val="18"/>
          <w:color w:val="auto"/>
        </w:rPr>
      </w:pPr>
    </w:p>
    <w:p>
      <w:pPr>
        <w:ind w:left="1180" w:hanging="259"/>
        <w:spacing w:after="0"/>
        <w:tabs>
          <w:tab w:leader="none" w:pos="1180" w:val="left"/>
        </w:tabs>
        <w:numPr>
          <w:ilvl w:val="2"/>
          <w:numId w:val="270"/>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 and specified in the applicable Award Agreement.</w:t>
      </w:r>
    </w:p>
    <w:p>
      <w:pPr>
        <w:spacing w:after="0" w:line="113" w:lineRule="exact"/>
        <w:rPr>
          <w:rFonts w:ascii="Arial" w:cs="Arial" w:eastAsia="Arial" w:hAnsi="Arial"/>
          <w:sz w:val="18"/>
          <w:szCs w:val="18"/>
          <w:b w:val="1"/>
          <w:bCs w:val="1"/>
          <w:color w:val="auto"/>
        </w:rPr>
      </w:pPr>
    </w:p>
    <w:p>
      <w:pPr>
        <w:ind w:firstLine="464"/>
        <w:spacing w:after="0" w:line="292" w:lineRule="auto"/>
        <w:tabs>
          <w:tab w:leader="none" w:pos="721" w:val="left"/>
        </w:tabs>
        <w:numPr>
          <w:ilvl w:val="1"/>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 to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53" w:lineRule="exact"/>
        <w:rPr>
          <w:rFonts w:ascii="Arial" w:cs="Arial" w:eastAsia="Arial" w:hAnsi="Arial"/>
          <w:sz w:val="16"/>
          <w:szCs w:val="16"/>
          <w:b w:val="1"/>
          <w:bCs w:val="1"/>
          <w:color w:val="auto"/>
        </w:rPr>
      </w:pPr>
    </w:p>
    <w:p>
      <w:pPr>
        <w:ind w:right="20" w:firstLine="464"/>
        <w:spacing w:after="0" w:line="266" w:lineRule="auto"/>
        <w:tabs>
          <w:tab w:leader="none" w:pos="701" w:val="left"/>
        </w:tabs>
        <w:numPr>
          <w:ilvl w:val="1"/>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 SARs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will determine. In the absence of such a determination by the Board to the contrary, the following restrictions on the transferability of Options and SARs will apply:</w:t>
      </w:r>
    </w:p>
    <w:p>
      <w:pPr>
        <w:spacing w:after="0" w:line="68" w:lineRule="exact"/>
        <w:rPr>
          <w:rFonts w:ascii="Arial" w:cs="Arial" w:eastAsia="Arial" w:hAnsi="Arial"/>
          <w:sz w:val="18"/>
          <w:szCs w:val="18"/>
          <w:b w:val="1"/>
          <w:bCs w:val="1"/>
          <w:color w:val="auto"/>
        </w:rPr>
      </w:pPr>
    </w:p>
    <w:p>
      <w:pPr>
        <w:ind w:right="80" w:firstLine="921"/>
        <w:spacing w:after="0" w:line="261" w:lineRule="auto"/>
        <w:tabs>
          <w:tab w:leader="none" w:pos="1128" w:val="left"/>
        </w:tabs>
        <w:numPr>
          <w:ilvl w:val="2"/>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will not be transferable except by will or by the laws of descent and distribution (or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subsections (ii) and (iii) below), and will be exercisable during the lifetime of the Participant only by the Participant. The Board may permit transfer of the Option or SAR in a manner that is not prohibited by applicable laws or regulations. Except as explicitly provided in the Plan, neither an Option nor a SAR may be transferred for consideration.</w:t>
      </w:r>
    </w:p>
    <w:p>
      <w:pPr>
        <w:spacing w:after="0" w:line="72" w:lineRule="exact"/>
        <w:rPr>
          <w:sz w:val="20"/>
          <w:szCs w:val="20"/>
          <w:color w:val="auto"/>
        </w:rPr>
      </w:pPr>
    </w:p>
    <w:p>
      <w:pPr>
        <w:ind w:right="140" w:firstLine="921"/>
        <w:spacing w:after="0" w:line="261" w:lineRule="auto"/>
        <w:tabs>
          <w:tab w:leader="none" w:pos="1178"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Regulations Section 1.421-1(b)(2) or comparable non-U.S. law. If an Option is an Incentive Stock Option, such Option may be deemed to be a Nonstatutory Stock Option as a result of such transfer.</w:t>
      </w:r>
    </w:p>
    <w:p>
      <w:pPr>
        <w:spacing w:after="0" w:line="71" w:lineRule="exact"/>
        <w:rPr>
          <w:rFonts w:ascii="Arial" w:cs="Arial" w:eastAsia="Arial" w:hAnsi="Arial"/>
          <w:sz w:val="18"/>
          <w:szCs w:val="18"/>
          <w:b w:val="1"/>
          <w:bCs w:val="1"/>
          <w:color w:val="auto"/>
        </w:rPr>
      </w:pPr>
    </w:p>
    <w:p>
      <w:pPr>
        <w:ind w:right="20" w:firstLine="921"/>
        <w:spacing w:after="0" w:line="281" w:lineRule="auto"/>
        <w:tabs>
          <w:tab w:leader="none" w:pos="1228" w:val="left"/>
        </w:tabs>
        <w:numPr>
          <w:ilvl w:val="0"/>
          <w:numId w:val="2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Subject to the approval of the Board or a duly authorized Officer, a Participant may, by delivering written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Company or to any third party designated by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04" w:name="page305"/>
    <w:bookmarkEnd w:id="304"/>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executor or administrator of the Participant’s estate or the Participant’s legal heirs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69" w:lineRule="exact"/>
        <w:rPr>
          <w:sz w:val="20"/>
          <w:szCs w:val="20"/>
          <w:color w:val="auto"/>
        </w:rPr>
      </w:pPr>
    </w:p>
    <w:p>
      <w:pPr>
        <w:ind w:firstLine="464"/>
        <w:spacing w:after="0" w:line="258" w:lineRule="auto"/>
        <w:tabs>
          <w:tab w:leader="none" w:pos="681"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Generally. </w:t>
      </w:r>
      <w:r>
        <w:rPr>
          <w:rFonts w:ascii="Arial" w:cs="Arial" w:eastAsia="Arial" w:hAnsi="Arial"/>
          <w:sz w:val="18"/>
          <w:szCs w:val="18"/>
          <w:color w:val="auto"/>
        </w:rPr>
        <w:t>The total number of shares of Common Stock subject to an Option or SAR may vest and become exercisable in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75" w:lineRule="exact"/>
        <w:rPr>
          <w:rFonts w:ascii="Arial" w:cs="Arial" w:eastAsia="Arial" w:hAnsi="Arial"/>
          <w:sz w:val="18"/>
          <w:szCs w:val="18"/>
          <w:b w:val="1"/>
          <w:bCs w:val="1"/>
          <w:color w:val="auto"/>
        </w:rPr>
      </w:pPr>
    </w:p>
    <w:p>
      <w:pPr>
        <w:ind w:right="20" w:firstLine="464"/>
        <w:spacing w:after="0" w:line="273" w:lineRule="auto"/>
        <w:tabs>
          <w:tab w:leader="none" w:pos="711" w:val="left"/>
        </w:tabs>
        <w:numPr>
          <w:ilvl w:val="0"/>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applicable Award Agreement or other agreement between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which occurs three (3)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64" w:lineRule="exact"/>
        <w:rPr>
          <w:rFonts w:ascii="Arial" w:cs="Arial" w:eastAsia="Arial" w:hAnsi="Arial"/>
          <w:sz w:val="17"/>
          <w:szCs w:val="17"/>
          <w:b w:val="1"/>
          <w:bCs w:val="1"/>
          <w:color w:val="auto"/>
        </w:rPr>
      </w:pPr>
    </w:p>
    <w:p>
      <w:pPr>
        <w:ind w:firstLine="464"/>
        <w:spacing w:after="0" w:line="269" w:lineRule="auto"/>
        <w:tabs>
          <w:tab w:leader="none" w:pos="721" w:val="left"/>
        </w:tabs>
        <w:numPr>
          <w:ilvl w:val="0"/>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Extension of Termination Date. </w:t>
      </w:r>
      <w:r>
        <w:rPr>
          <w:rFonts w:ascii="Arial" w:cs="Arial" w:eastAsia="Arial" w:hAnsi="Arial"/>
          <w:sz w:val="17"/>
          <w:szCs w:val="17"/>
          <w:color w:val="auto"/>
        </w:rPr>
        <w:t>Except as otherwise provided in the applicable Award Agreement or other agreement between the Participant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the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305" w:name="page306"/>
    <w:bookmarkEnd w:id="305"/>
    <w:p>
      <w:pPr>
        <w:ind w:left="-20" w:right="20" w:firstLine="464"/>
        <w:spacing w:after="0" w:line="295" w:lineRule="auto"/>
        <w:tabs>
          <w:tab w:leader="none" w:pos="651" w:val="left"/>
        </w:tabs>
        <w:numPr>
          <w:ilvl w:val="0"/>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Disability of Participant.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which occurs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47" w:lineRule="exact"/>
        <w:rPr>
          <w:rFonts w:ascii="Arial" w:cs="Arial" w:eastAsia="Arial" w:hAnsi="Arial"/>
          <w:sz w:val="16"/>
          <w:szCs w:val="16"/>
          <w:b w:val="1"/>
          <w:bCs w:val="1"/>
          <w:color w:val="auto"/>
        </w:rPr>
      </w:pPr>
    </w:p>
    <w:p>
      <w:pPr>
        <w:ind w:left="-20" w:right="60" w:firstLine="464"/>
        <w:spacing w:after="0" w:line="272" w:lineRule="auto"/>
        <w:tabs>
          <w:tab w:leader="none" w:pos="661" w:val="left"/>
        </w:tabs>
        <w:numPr>
          <w:ilvl w:val="0"/>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of Participant. </w:t>
      </w:r>
      <w:r>
        <w:rPr>
          <w:rFonts w:ascii="Arial" w:cs="Arial" w:eastAsia="Arial" w:hAnsi="Arial"/>
          <w:sz w:val="17"/>
          <w:szCs w:val="17"/>
          <w:color w:val="auto"/>
        </w:rPr>
        <w:t>Except as otherwise provided in the applicable Award Agreement or other agreement between the Participant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64" w:lineRule="exact"/>
        <w:rPr>
          <w:rFonts w:ascii="Arial" w:cs="Arial" w:eastAsia="Arial" w:hAnsi="Arial"/>
          <w:sz w:val="17"/>
          <w:szCs w:val="17"/>
          <w:b w:val="1"/>
          <w:bCs w:val="1"/>
          <w:color w:val="auto"/>
        </w:rPr>
      </w:pPr>
    </w:p>
    <w:p>
      <w:pPr>
        <w:ind w:left="-20" w:right="300" w:firstLine="464"/>
        <w:spacing w:after="0" w:line="277" w:lineRule="auto"/>
        <w:tabs>
          <w:tab w:leader="none" w:pos="701" w:val="left"/>
        </w:tabs>
        <w:numPr>
          <w:ilvl w:val="0"/>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for Cause. </w:t>
      </w:r>
      <w:r>
        <w:rPr>
          <w:rFonts w:ascii="Arial" w:cs="Arial" w:eastAsia="Arial" w:hAnsi="Arial"/>
          <w:sz w:val="17"/>
          <w:szCs w:val="17"/>
          <w:color w:val="auto"/>
        </w:rPr>
        <w:t>Except as explicitly provided otherwise in the applicable Award Agreement or other written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 If a Participant’s Continuous Service is suspended pending an investigation of the existence of Cause, all of the Participant’s rights under the Option or SAR will also be suspended during the investigation period.</w:t>
      </w:r>
    </w:p>
    <w:p>
      <w:pPr>
        <w:spacing w:after="0" w:line="60" w:lineRule="exact"/>
        <w:rPr>
          <w:rFonts w:ascii="Arial" w:cs="Arial" w:eastAsia="Arial" w:hAnsi="Arial"/>
          <w:sz w:val="17"/>
          <w:szCs w:val="17"/>
          <w:b w:val="1"/>
          <w:bCs w:val="1"/>
          <w:color w:val="auto"/>
        </w:rPr>
      </w:pPr>
    </w:p>
    <w:p>
      <w:pPr>
        <w:ind w:left="-20" w:firstLine="464"/>
        <w:spacing w:after="0" w:line="291" w:lineRule="auto"/>
        <w:tabs>
          <w:tab w:leader="none" w:pos="651" w:val="left"/>
        </w:tabs>
        <w:numPr>
          <w:ilvl w:val="0"/>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Non-Exempt Employees. </w:t>
      </w:r>
      <w:r>
        <w:rPr>
          <w:rFonts w:ascii="Arial" w:cs="Arial" w:eastAsia="Arial" w:hAnsi="Arial"/>
          <w:sz w:val="16"/>
          <w:szCs w:val="16"/>
          <w:color w:val="auto"/>
        </w:rPr>
        <w:t>If an Option or SAR is granted to an Employee who is a non-exempt employee for purposes of the U.S. Fair Labor</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Act of 1938, as amended, the Option or SAR will not be first exercisable for any shares of Common Stock until at least six months following the date of grant of the Option or SAR (although the Award may vest prior to such date). Consistent with the provisions of the U.S.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69" w:right="239" w:bottom="1440" w:gutter="0" w:footer="0" w:header="0"/>
        </w:sectPr>
      </w:pPr>
    </w:p>
    <w:bookmarkStart w:id="306" w:name="page307"/>
    <w:bookmarkEnd w:id="306"/>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or SAR will be exempt from his or her regular rate of pay. To the extent permitted and/or required for compliance with the U.S.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88" w:lineRule="exact"/>
        <w:rPr>
          <w:sz w:val="20"/>
          <w:szCs w:val="20"/>
          <w:color w:val="auto"/>
        </w:rPr>
      </w:pPr>
    </w:p>
    <w:p>
      <w:pPr>
        <w:ind w:left="460" w:hanging="452"/>
        <w:spacing w:after="0"/>
        <w:tabs>
          <w:tab w:leader="none" w:pos="4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 OTHER THAN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5"/>
          <w:szCs w:val="15"/>
          <w:b w:val="1"/>
          <w:bCs w:val="1"/>
          <w:color w:val="auto"/>
        </w:rPr>
        <w: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20" w:firstLine="464"/>
        <w:spacing w:after="0" w:line="255" w:lineRule="auto"/>
        <w:tabs>
          <w:tab w:leader="none" w:pos="711"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Each Restricted Stock Award Agreement will be in such form and will contain such terms and conditions as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81" w:lineRule="exact"/>
        <w:rPr>
          <w:rFonts w:ascii="Arial" w:cs="Arial" w:eastAsia="Arial" w:hAnsi="Arial"/>
          <w:sz w:val="18"/>
          <w:szCs w:val="18"/>
          <w:b w:val="1"/>
          <w:bCs w:val="1"/>
          <w:color w:val="auto"/>
        </w:rPr>
      </w:pPr>
    </w:p>
    <w:p>
      <w:pPr>
        <w:ind w:right="100" w:firstLine="921"/>
        <w:spacing w:after="0" w:line="266" w:lineRule="auto"/>
        <w:tabs>
          <w:tab w:leader="none" w:pos="1128" w:val="left"/>
        </w:tabs>
        <w:numPr>
          <w:ilvl w:val="2"/>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 payable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 past services to the Company or an Affiliate, or (C) any other form of legal consideration (including future services) that may be acceptable to the Board, in its sole discretion, and permissible under applicable law.</w:t>
      </w:r>
    </w:p>
    <w:p>
      <w:pPr>
        <w:spacing w:after="0" w:line="68" w:lineRule="exact"/>
        <w:rPr>
          <w:rFonts w:ascii="Arial" w:cs="Arial" w:eastAsia="Arial" w:hAnsi="Arial"/>
          <w:sz w:val="18"/>
          <w:szCs w:val="18"/>
          <w:b w:val="1"/>
          <w:bCs w:val="1"/>
          <w:color w:val="auto"/>
        </w:rPr>
      </w:pPr>
    </w:p>
    <w:p>
      <w:pPr>
        <w:ind w:right="340" w:firstLine="921"/>
        <w:spacing w:after="0" w:line="282" w:lineRule="auto"/>
        <w:tabs>
          <w:tab w:leader="none" w:pos="1178" w:val="left"/>
        </w:tabs>
        <w:numPr>
          <w:ilvl w:val="2"/>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Shares of Common Stock awarded under the Restricted Stock Award Agreement may be subject to forfeiture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 vesting schedule to be determined by the Board.</w:t>
      </w:r>
    </w:p>
    <w:p>
      <w:pPr>
        <w:spacing w:after="0" w:line="53" w:lineRule="exact"/>
        <w:rPr>
          <w:rFonts w:ascii="Arial" w:cs="Arial" w:eastAsia="Arial" w:hAnsi="Arial"/>
          <w:sz w:val="18"/>
          <w:szCs w:val="18"/>
          <w:b w:val="1"/>
          <w:bCs w:val="1"/>
          <w:color w:val="auto"/>
        </w:rPr>
      </w:pPr>
    </w:p>
    <w:p>
      <w:pPr>
        <w:ind w:firstLine="921"/>
        <w:spacing w:after="0" w:line="266" w:lineRule="auto"/>
        <w:tabs>
          <w:tab w:leader="none" w:pos="1228" w:val="left"/>
        </w:tabs>
        <w:numPr>
          <w:ilvl w:val="2"/>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may receive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condition or a repurchase right any or all of the shares of Common Stock held by the Participant that have not vested as of the date of termination of Continuous Service under the terms of the Restricted Stock Award Agreement.</w:t>
      </w:r>
    </w:p>
    <w:p>
      <w:pPr>
        <w:spacing w:after="0" w:line="68" w:lineRule="exact"/>
        <w:rPr>
          <w:rFonts w:ascii="Arial" w:cs="Arial" w:eastAsia="Arial" w:hAnsi="Arial"/>
          <w:sz w:val="18"/>
          <w:szCs w:val="18"/>
          <w:b w:val="1"/>
          <w:bCs w:val="1"/>
          <w:color w:val="auto"/>
        </w:rPr>
      </w:pPr>
    </w:p>
    <w:p>
      <w:pPr>
        <w:ind w:right="160" w:firstLine="921"/>
        <w:spacing w:after="0" w:line="314" w:lineRule="auto"/>
        <w:tabs>
          <w:tab w:leader="none" w:pos="1218" w:val="left"/>
        </w:tabs>
        <w:numPr>
          <w:ilvl w:val="2"/>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Rights to acquire shares of Common Stock under the Restricted Stock Award Agreement will be transferable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34" w:lineRule="exact"/>
        <w:rPr>
          <w:rFonts w:ascii="Arial" w:cs="Arial" w:eastAsia="Arial" w:hAnsi="Arial"/>
          <w:sz w:val="16"/>
          <w:szCs w:val="16"/>
          <w:b w:val="1"/>
          <w:bCs w:val="1"/>
          <w:color w:val="auto"/>
        </w:rPr>
      </w:pPr>
    </w:p>
    <w:p>
      <w:pPr>
        <w:ind w:firstLine="921"/>
        <w:spacing w:after="0" w:line="282" w:lineRule="auto"/>
        <w:tabs>
          <w:tab w:leader="none" w:pos="1168" w:val="left"/>
        </w:tabs>
        <w:numPr>
          <w:ilvl w:val="2"/>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 same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forfeiture restrictions as apply to the shares subject to the Restricted Stock Award to which they relate.</w:t>
      </w:r>
    </w:p>
    <w:p>
      <w:pPr>
        <w:spacing w:after="0" w:line="53" w:lineRule="exact"/>
        <w:rPr>
          <w:rFonts w:ascii="Arial" w:cs="Arial" w:eastAsia="Arial" w:hAnsi="Arial"/>
          <w:sz w:val="18"/>
          <w:szCs w:val="18"/>
          <w:b w:val="1"/>
          <w:bCs w:val="1"/>
          <w:color w:val="auto"/>
        </w:rPr>
      </w:pPr>
    </w:p>
    <w:p>
      <w:pPr>
        <w:ind w:right="160" w:firstLine="464"/>
        <w:spacing w:after="0" w:line="282" w:lineRule="auto"/>
        <w:tabs>
          <w:tab w:leader="none" w:pos="721"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 Awards. </w:t>
      </w:r>
      <w:r>
        <w:rPr>
          <w:rFonts w:ascii="Arial" w:cs="Arial" w:eastAsia="Arial" w:hAnsi="Arial"/>
          <w:sz w:val="18"/>
          <w:szCs w:val="18"/>
          <w:color w:val="auto"/>
        </w:rPr>
        <w:t>Each Restricted Stock Unit Award Agreement will be in such form and will contain such terms and conditions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will deem</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07" w:name="page308"/>
    <w:bookmarkEnd w:id="307"/>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53" w:lineRule="exact"/>
        <w:rPr>
          <w:sz w:val="20"/>
          <w:szCs w:val="20"/>
          <w:color w:val="auto"/>
        </w:rPr>
      </w:pPr>
    </w:p>
    <w:p>
      <w:pPr>
        <w:ind w:right="60" w:firstLine="921"/>
        <w:spacing w:after="0" w:line="261" w:lineRule="auto"/>
        <w:tabs>
          <w:tab w:leader="none" w:pos="1128"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71" w:lineRule="exact"/>
        <w:rPr>
          <w:rFonts w:ascii="Arial" w:cs="Arial" w:eastAsia="Arial" w:hAnsi="Arial"/>
          <w:sz w:val="18"/>
          <w:szCs w:val="18"/>
          <w:b w:val="1"/>
          <w:bCs w:val="1"/>
          <w:color w:val="auto"/>
        </w:rPr>
      </w:pPr>
    </w:p>
    <w:p>
      <w:pPr>
        <w:ind w:right="80" w:firstLine="921"/>
        <w:spacing w:after="0" w:line="282" w:lineRule="auto"/>
        <w:tabs>
          <w:tab w:leader="none" w:pos="1178"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 the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Unit Award as it, in its sole discretion, deems appropriate.</w:t>
      </w:r>
    </w:p>
    <w:p>
      <w:pPr>
        <w:spacing w:after="0" w:line="53" w:lineRule="exact"/>
        <w:rPr>
          <w:rFonts w:ascii="Arial" w:cs="Arial" w:eastAsia="Arial" w:hAnsi="Arial"/>
          <w:sz w:val="18"/>
          <w:szCs w:val="18"/>
          <w:b w:val="1"/>
          <w:bCs w:val="1"/>
          <w:color w:val="auto"/>
        </w:rPr>
      </w:pPr>
    </w:p>
    <w:p>
      <w:pPr>
        <w:ind w:right="20" w:firstLine="921"/>
        <w:spacing w:after="0" w:line="313" w:lineRule="auto"/>
        <w:tabs>
          <w:tab w:leader="none" w:pos="1228" w:val="left"/>
        </w:tabs>
        <w:numPr>
          <w:ilvl w:val="1"/>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w:t>
      </w:r>
      <w:r>
        <w:rPr>
          <w:rFonts w:ascii="Arial" w:cs="Arial" w:eastAsia="Arial" w:hAnsi="Arial"/>
          <w:sz w:val="17"/>
          <w:szCs w:val="17"/>
          <w:color w:val="auto"/>
        </w:rPr>
        <w:t>A Restricted Stock Unit Award may be settled by the delivery of shares of Common Stock, their cash equivalent, any combination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or in any other form of consideration, as determined by the Board and contained in the Restricted Stock Unit Award Agreement.</w:t>
      </w:r>
    </w:p>
    <w:p>
      <w:pPr>
        <w:spacing w:after="0" w:line="30" w:lineRule="exact"/>
        <w:rPr>
          <w:rFonts w:ascii="Arial" w:cs="Arial" w:eastAsia="Arial" w:hAnsi="Arial"/>
          <w:sz w:val="17"/>
          <w:szCs w:val="17"/>
          <w:b w:val="1"/>
          <w:bCs w:val="1"/>
          <w:color w:val="auto"/>
        </w:rPr>
      </w:pPr>
    </w:p>
    <w:p>
      <w:pPr>
        <w:ind w:right="140" w:firstLine="921"/>
        <w:spacing w:after="0" w:line="266" w:lineRule="auto"/>
        <w:tabs>
          <w:tab w:leader="none" w:pos="1218"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or conditions that delay the delivery of the shares of Common Stock (or their cash equivalent) subject to a Restricted Stock Unit Award to a time after the vesting of such Restricted Stock Unit Award.</w:t>
      </w:r>
    </w:p>
    <w:p>
      <w:pPr>
        <w:spacing w:after="0" w:line="68" w:lineRule="exact"/>
        <w:rPr>
          <w:rFonts w:ascii="Arial" w:cs="Arial" w:eastAsia="Arial" w:hAnsi="Arial"/>
          <w:sz w:val="18"/>
          <w:szCs w:val="18"/>
          <w:b w:val="1"/>
          <w:bCs w:val="1"/>
          <w:color w:val="auto"/>
        </w:rPr>
      </w:pPr>
    </w:p>
    <w:p>
      <w:pPr>
        <w:ind w:right="220" w:firstLine="921"/>
        <w:spacing w:after="0" w:line="277" w:lineRule="auto"/>
        <w:tabs>
          <w:tab w:leader="none" w:pos="1168" w:val="left"/>
        </w:tabs>
        <w:numPr>
          <w:ilvl w:val="1"/>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Dividend equivalents may be credited in respect of shares of Common Stock covered by a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60" w:lineRule="exact"/>
        <w:rPr>
          <w:rFonts w:ascii="Arial" w:cs="Arial" w:eastAsia="Arial" w:hAnsi="Arial"/>
          <w:sz w:val="17"/>
          <w:szCs w:val="17"/>
          <w:b w:val="1"/>
          <w:bCs w:val="1"/>
          <w:color w:val="auto"/>
        </w:rPr>
      </w:pPr>
    </w:p>
    <w:p>
      <w:pPr>
        <w:ind w:firstLine="921"/>
        <w:spacing w:after="0" w:line="347" w:lineRule="auto"/>
        <w:tabs>
          <w:tab w:leader="none" w:pos="1218" w:val="left"/>
        </w:tabs>
        <w:numPr>
          <w:ilvl w:val="1"/>
          <w:numId w:val="2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Participant’s Continuous Service. </w:t>
      </w:r>
      <w:r>
        <w:rPr>
          <w:rFonts w:ascii="Arial" w:cs="Arial" w:eastAsia="Arial" w:hAnsi="Arial"/>
          <w:sz w:val="16"/>
          <w:szCs w:val="16"/>
          <w:color w:val="auto"/>
        </w:rPr>
        <w:t>Except as otherwise provided in the applicable Restricted Stock Unit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such portion of the Restricted Stock Unit Award that has not vested will be forfeited upon the Participant’s termination of Continuous Service.</w:t>
      </w:r>
    </w:p>
    <w:p>
      <w:pPr>
        <w:spacing w:after="0" w:line="8" w:lineRule="exact"/>
        <w:rPr>
          <w:rFonts w:ascii="Arial" w:cs="Arial" w:eastAsia="Arial" w:hAnsi="Arial"/>
          <w:sz w:val="16"/>
          <w:szCs w:val="16"/>
          <w:b w:val="1"/>
          <w:bCs w:val="1"/>
          <w:color w:val="auto"/>
        </w:rPr>
      </w:pPr>
    </w:p>
    <w:p>
      <w:pPr>
        <w:ind w:left="700" w:hanging="236"/>
        <w:spacing w:after="0"/>
        <w:tabs>
          <w:tab w:leader="none" w:pos="70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20" w:firstLine="921"/>
        <w:spacing w:after="0" w:line="314" w:lineRule="auto"/>
        <w:tabs>
          <w:tab w:leader="none" w:pos="1128" w:val="left"/>
        </w:tabs>
        <w:numPr>
          <w:ilvl w:val="1"/>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Stock Awards. </w:t>
      </w:r>
      <w:r>
        <w:rPr>
          <w:rFonts w:ascii="Arial" w:cs="Arial" w:eastAsia="Arial" w:hAnsi="Arial"/>
          <w:sz w:val="16"/>
          <w:szCs w:val="16"/>
          <w:color w:val="auto"/>
        </w:rPr>
        <w:t>A Performance Stock Award is a Stock Award that is payable (including that may be granted, may vest or may</w:t>
      </w:r>
      <w:r>
        <w:rPr>
          <w:rFonts w:ascii="Arial" w:cs="Arial" w:eastAsia="Arial" w:hAnsi="Arial"/>
          <w:sz w:val="16"/>
          <w:szCs w:val="16"/>
          <w:b w:val="1"/>
          <w:bCs w:val="1"/>
          <w:color w:val="auto"/>
        </w:rPr>
        <w:t xml:space="preserve"> </w:t>
      </w:r>
      <w:r>
        <w:rPr>
          <w:rFonts w:ascii="Arial" w:cs="Arial" w:eastAsia="Arial" w:hAnsi="Arial"/>
          <w:sz w:val="16"/>
          <w:szCs w:val="16"/>
          <w:color w:val="auto"/>
        </w:rPr>
        <w:t>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308" w:name="page309"/>
    <w:bookmarkEnd w:id="308"/>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may determine that cash may be used in payment of Performance Stock Awards.</w:t>
      </w:r>
    </w:p>
    <w:p>
      <w:pPr>
        <w:spacing w:after="0" w:line="69" w:lineRule="exact"/>
        <w:rPr>
          <w:sz w:val="20"/>
          <w:szCs w:val="20"/>
          <w:color w:val="auto"/>
        </w:rPr>
      </w:pPr>
    </w:p>
    <w:p>
      <w:pPr>
        <w:ind w:firstLine="921"/>
        <w:spacing w:after="0" w:line="255" w:lineRule="auto"/>
        <w:tabs>
          <w:tab w:leader="none" w:pos="1178" w:val="left"/>
        </w:tabs>
        <w:numPr>
          <w:ilvl w:val="2"/>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Cash Awards. </w:t>
      </w:r>
      <w:r>
        <w:rPr>
          <w:rFonts w:ascii="Arial" w:cs="Arial" w:eastAsia="Arial" w:hAnsi="Arial"/>
          <w:sz w:val="18"/>
          <w:szCs w:val="18"/>
          <w:color w:val="auto"/>
        </w:rPr>
        <w:t>A Performance Cash Award is a cash award that is payable contingent upon the attainment during a</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or Committee,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81" w:lineRule="exact"/>
        <w:rPr>
          <w:rFonts w:ascii="Arial" w:cs="Arial" w:eastAsia="Arial" w:hAnsi="Arial"/>
          <w:sz w:val="18"/>
          <w:szCs w:val="18"/>
          <w:b w:val="1"/>
          <w:bCs w:val="1"/>
          <w:color w:val="auto"/>
        </w:rPr>
      </w:pPr>
    </w:p>
    <w:p>
      <w:pPr>
        <w:ind w:right="380" w:firstLine="921"/>
        <w:spacing w:after="0" w:line="313" w:lineRule="auto"/>
        <w:tabs>
          <w:tab w:leader="none" w:pos="1228" w:val="left"/>
        </w:tabs>
        <w:numPr>
          <w:ilvl w:val="2"/>
          <w:numId w:val="2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Board Discretion. </w:t>
      </w:r>
      <w:r>
        <w:rPr>
          <w:rFonts w:ascii="Arial" w:cs="Arial" w:eastAsia="Arial" w:hAnsi="Arial"/>
          <w:sz w:val="17"/>
          <w:szCs w:val="17"/>
          <w:color w:val="auto"/>
        </w:rPr>
        <w:t>The Board retains the discretion to adjust or eliminate the compensation or economic benefit due upon attainment of</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Goals and to define the manner of calculating the Performance Criteria it selects to use for a Performance Period.</w:t>
      </w:r>
    </w:p>
    <w:p>
      <w:pPr>
        <w:spacing w:after="0" w:line="30" w:lineRule="exact"/>
        <w:rPr>
          <w:rFonts w:ascii="Arial" w:cs="Arial" w:eastAsia="Arial" w:hAnsi="Arial"/>
          <w:sz w:val="17"/>
          <w:szCs w:val="17"/>
          <w:b w:val="1"/>
          <w:bCs w:val="1"/>
          <w:color w:val="auto"/>
        </w:rPr>
      </w:pPr>
    </w:p>
    <w:p>
      <w:pPr>
        <w:ind w:right="40" w:firstLine="464"/>
        <w:spacing w:after="0" w:line="274" w:lineRule="auto"/>
        <w:tabs>
          <w:tab w:leader="none" w:pos="721" w:val="left"/>
        </w:tabs>
        <w:numPr>
          <w:ilvl w:val="1"/>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Stock Awards. </w:t>
      </w:r>
      <w:r>
        <w:rPr>
          <w:rFonts w:ascii="Arial" w:cs="Arial" w:eastAsia="Arial" w:hAnsi="Arial"/>
          <w:sz w:val="17"/>
          <w:szCs w:val="17"/>
          <w:color w:val="auto"/>
        </w:rPr>
        <w:t>Other forms of Stock Awards valued in whole or in part by reference to, or otherwise based on, Common Stock,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79" w:lineRule="exact"/>
        <w:rPr>
          <w:rFonts w:ascii="Arial" w:cs="Arial" w:eastAsia="Arial" w:hAnsi="Arial"/>
          <w:sz w:val="17"/>
          <w:szCs w:val="17"/>
          <w:b w:val="1"/>
          <w:bCs w:val="1"/>
          <w:color w:val="auto"/>
        </w:rPr>
      </w:pPr>
    </w:p>
    <w:p>
      <w:pPr>
        <w:ind w:left="460" w:hanging="452"/>
        <w:spacing w:after="0"/>
        <w:tabs>
          <w:tab w:leader="none" w:pos="4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180" w:firstLine="464"/>
        <w:spacing w:after="0" w:line="282" w:lineRule="auto"/>
        <w:tabs>
          <w:tab w:leader="none" w:pos="711" w:val="left"/>
        </w:tabs>
        <w:numPr>
          <w:ilvl w:val="1"/>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The Company will keep available at all times the number of shares of Common Stock reasonably required to satisfy then-outstanding Stock Awards.</w:t>
      </w:r>
    </w:p>
    <w:p>
      <w:pPr>
        <w:spacing w:after="0" w:line="53" w:lineRule="exact"/>
        <w:rPr>
          <w:rFonts w:ascii="Arial" w:cs="Arial" w:eastAsia="Arial" w:hAnsi="Arial"/>
          <w:sz w:val="18"/>
          <w:szCs w:val="18"/>
          <w:b w:val="1"/>
          <w:bCs w:val="1"/>
          <w:color w:val="auto"/>
        </w:rPr>
      </w:pPr>
    </w:p>
    <w:p>
      <w:pPr>
        <w:ind w:right="100" w:firstLine="464"/>
        <w:spacing w:after="0" w:line="274" w:lineRule="auto"/>
        <w:tabs>
          <w:tab w:leader="none" w:pos="721" w:val="left"/>
        </w:tabs>
        <w:numPr>
          <w:ilvl w:val="1"/>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Law. </w:t>
      </w:r>
      <w:r>
        <w:rPr>
          <w:rFonts w:ascii="Arial" w:cs="Arial" w:eastAsia="Arial" w:hAnsi="Arial"/>
          <w:sz w:val="17"/>
          <w:szCs w:val="17"/>
          <w:color w:val="auto"/>
        </w:rPr>
        <w:t>The Company will seek to obtain from each regulatory commission or agency, as necessary, such authority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required to grant Stock Awards and to issue and sell shares of Common Stock upon exercise or vesting of the Stock Awards;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undertaking will not require the Company to register under the Securities Act the Plan or other securities or applicable laws,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309" w:name="page310"/>
    <w:bookmarkEnd w:id="309"/>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for failure to issue and sell Common Stock upon exercise or vesting of such Stock Awards unless and until such authority is obtained. A Participant will not be eligible for the grant of an Award or the subsequent issuance of cash or Common Stock pursuant to the Award if such grant or issuance would be in violation of any applicable law.</w:t>
      </w:r>
    </w:p>
    <w:p>
      <w:pPr>
        <w:spacing w:after="0" w:line="69" w:lineRule="exact"/>
        <w:rPr>
          <w:sz w:val="20"/>
          <w:szCs w:val="20"/>
          <w:color w:val="auto"/>
        </w:rPr>
      </w:pPr>
    </w:p>
    <w:p>
      <w:pPr>
        <w:ind w:right="140" w:firstLine="464"/>
        <w:spacing w:after="0" w:line="261" w:lineRule="auto"/>
        <w:tabs>
          <w:tab w:leader="none" w:pos="701"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or Minimize Taxes. </w:t>
      </w:r>
      <w:r>
        <w:rPr>
          <w:rFonts w:ascii="Arial" w:cs="Arial" w:eastAsia="Arial" w:hAnsi="Arial"/>
          <w:sz w:val="18"/>
          <w:szCs w:val="18"/>
          <w:color w:val="auto"/>
        </w:rPr>
        <w:t>The Company will have no duty or obligation to any Participant to advise such holder as to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or manner or tax treatment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85" w:lineRule="exact"/>
        <w:rPr>
          <w:rFonts w:ascii="Arial" w:cs="Arial" w:eastAsia="Arial" w:hAnsi="Arial"/>
          <w:sz w:val="18"/>
          <w:szCs w:val="18"/>
          <w:b w:val="1"/>
          <w:bCs w:val="1"/>
          <w:color w:val="auto"/>
        </w:rPr>
      </w:pPr>
    </w:p>
    <w:p>
      <w:pPr>
        <w:ind w:left="460" w:hanging="452"/>
        <w:spacing w:after="0"/>
        <w:tabs>
          <w:tab w:leader="none" w:pos="4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460" w:firstLine="464"/>
        <w:spacing w:after="0" w:line="282" w:lineRule="auto"/>
        <w:tabs>
          <w:tab w:leader="none" w:pos="711" w:val="left"/>
        </w:tabs>
        <w:numPr>
          <w:ilvl w:val="1"/>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Stock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53" w:lineRule="exact"/>
        <w:rPr>
          <w:rFonts w:ascii="Arial" w:cs="Arial" w:eastAsia="Arial" w:hAnsi="Arial"/>
          <w:sz w:val="18"/>
          <w:szCs w:val="18"/>
          <w:b w:val="1"/>
          <w:bCs w:val="1"/>
          <w:color w:val="auto"/>
        </w:rPr>
      </w:pPr>
    </w:p>
    <w:p>
      <w:pPr>
        <w:ind w:firstLine="464"/>
        <w:spacing w:after="0" w:line="255" w:lineRule="auto"/>
        <w:tabs>
          <w:tab w:leader="none" w:pos="721" w:val="left"/>
        </w:tabs>
        <w:numPr>
          <w:ilvl w:val="1"/>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 Participant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81" w:lineRule="exact"/>
        <w:rPr>
          <w:rFonts w:ascii="Arial" w:cs="Arial" w:eastAsia="Arial" w:hAnsi="Arial"/>
          <w:sz w:val="18"/>
          <w:szCs w:val="18"/>
          <w:b w:val="1"/>
          <w:bCs w:val="1"/>
          <w:color w:val="auto"/>
        </w:rPr>
      </w:pPr>
    </w:p>
    <w:p>
      <w:pPr>
        <w:ind w:right="20" w:firstLine="464"/>
        <w:spacing w:after="0" w:line="261" w:lineRule="auto"/>
        <w:tabs>
          <w:tab w:leader="none" w:pos="701" w:val="left"/>
        </w:tabs>
        <w:numPr>
          <w:ilvl w:val="1"/>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will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71" w:lineRule="exact"/>
        <w:rPr>
          <w:rFonts w:ascii="Arial" w:cs="Arial" w:eastAsia="Arial" w:hAnsi="Arial"/>
          <w:sz w:val="18"/>
          <w:szCs w:val="18"/>
          <w:b w:val="1"/>
          <w:bCs w:val="1"/>
          <w:color w:val="auto"/>
        </w:rPr>
      </w:pPr>
    </w:p>
    <w:p>
      <w:pPr>
        <w:ind w:firstLine="464"/>
        <w:spacing w:after="0" w:line="255" w:lineRule="auto"/>
        <w:tabs>
          <w:tab w:leader="none" w:pos="721" w:val="left"/>
        </w:tabs>
        <w:numPr>
          <w:ilvl w:val="1"/>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Employment or Other Service Rights. </w:t>
      </w:r>
      <w:r>
        <w:rPr>
          <w:rFonts w:ascii="Arial" w:cs="Arial" w:eastAsia="Arial" w:hAnsi="Arial"/>
          <w:sz w:val="18"/>
          <w:szCs w:val="18"/>
          <w:color w:val="auto"/>
        </w:rPr>
        <w:t>Nothing in the Plan, any Award Agreement or any other instrument executed thereunder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 Furthermore, to the extent the Company is not the employer of a Participant, the grant of an Award will be not establish an employment or other service relationship between the Company and the Participant.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3" w:right="259" w:bottom="1440" w:gutter="0" w:footer="0" w:header="0"/>
        </w:sectPr>
      </w:pPr>
    </w:p>
    <w:bookmarkStart w:id="310" w:name="page311"/>
    <w:bookmarkEnd w:id="310"/>
    <w:p>
      <w:pPr>
        <w:ind w:right="20" w:firstLine="464"/>
        <w:spacing w:after="0" w:line="255" w:lineRule="auto"/>
        <w:tabs>
          <w:tab w:leader="none" w:pos="701"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in Time Commitment. </w:t>
      </w:r>
      <w:r>
        <w:rPr>
          <w:rFonts w:ascii="Arial" w:cs="Arial" w:eastAsia="Arial" w:hAnsi="Arial"/>
          <w:sz w:val="18"/>
          <w:szCs w:val="18"/>
          <w:color w:val="auto"/>
        </w:rPr>
        <w:t>In the event a Participant’s regular level of time commitment in the performance of his or her services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81" w:lineRule="exact"/>
        <w:rPr>
          <w:rFonts w:ascii="Arial" w:cs="Arial" w:eastAsia="Arial" w:hAnsi="Arial"/>
          <w:sz w:val="18"/>
          <w:szCs w:val="18"/>
          <w:b w:val="1"/>
          <w:bCs w:val="1"/>
          <w:color w:val="auto"/>
        </w:rPr>
      </w:pPr>
    </w:p>
    <w:p>
      <w:pPr>
        <w:ind w:firstLine="464"/>
        <w:spacing w:after="0" w:line="277" w:lineRule="auto"/>
        <w:tabs>
          <w:tab w:leader="none" w:pos="681"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Incentive Stock Option Limitations. </w:t>
      </w:r>
      <w:r>
        <w:rPr>
          <w:rFonts w:ascii="Arial" w:cs="Arial" w:eastAsia="Arial" w:hAnsi="Arial"/>
          <w:sz w:val="17"/>
          <w:szCs w:val="17"/>
          <w:color w:val="auto"/>
        </w:rPr>
        <w:t>To the extent that the aggregate Fair Market Value (determined at the time of grant) of Common Stock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which Incentive Stock Options are exercisable for the first time by any Optionholder during any calendar year (under all plans of the Company and any Affiliates) exceeds U.S.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60" w:lineRule="exact"/>
        <w:rPr>
          <w:rFonts w:ascii="Arial" w:cs="Arial" w:eastAsia="Arial" w:hAnsi="Arial"/>
          <w:sz w:val="17"/>
          <w:szCs w:val="17"/>
          <w:b w:val="1"/>
          <w:bCs w:val="1"/>
          <w:color w:val="auto"/>
        </w:rPr>
      </w:pPr>
    </w:p>
    <w:p>
      <w:pPr>
        <w:ind w:right="20" w:firstLine="464"/>
        <w:spacing w:after="0" w:line="288" w:lineRule="auto"/>
        <w:tabs>
          <w:tab w:leader="none" w:pos="711"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Common Stock under any Award, (i) to</w:t>
      </w:r>
      <w:r>
        <w:rPr>
          <w:rFonts w:ascii="Arial" w:cs="Arial" w:eastAsia="Arial" w:hAnsi="Arial"/>
          <w:sz w:val="16"/>
          <w:szCs w:val="16"/>
          <w:b w:val="1"/>
          <w:bCs w:val="1"/>
          <w:color w:val="auto"/>
        </w:rPr>
        <w:t xml:space="preserve"> </w:t>
      </w:r>
      <w:r>
        <w:rPr>
          <w:rFonts w:ascii="Arial" w:cs="Arial" w:eastAsia="Arial" w:hAnsi="Arial"/>
          <w:sz w:val="16"/>
          <w:szCs w:val="16"/>
          <w:color w:val="auto"/>
        </w:rPr>
        <w:t>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56" w:lineRule="exact"/>
        <w:rPr>
          <w:rFonts w:ascii="Arial" w:cs="Arial" w:eastAsia="Arial" w:hAnsi="Arial"/>
          <w:sz w:val="16"/>
          <w:szCs w:val="16"/>
          <w:b w:val="1"/>
          <w:bCs w:val="1"/>
          <w:color w:val="auto"/>
        </w:rPr>
      </w:pPr>
    </w:p>
    <w:p>
      <w:pPr>
        <w:ind w:right="240" w:firstLine="464"/>
        <w:spacing w:after="0" w:line="282" w:lineRule="auto"/>
        <w:tabs>
          <w:tab w:leader="none" w:pos="721"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Obligations. </w:t>
      </w:r>
      <w:r>
        <w:rPr>
          <w:rFonts w:ascii="Arial" w:cs="Arial" w:eastAsia="Arial" w:hAnsi="Arial"/>
          <w:sz w:val="18"/>
          <w:szCs w:val="18"/>
          <w:color w:val="auto"/>
        </w:rPr>
        <w:t>Unless prohibited by the terms of an Award Agreement, the Company may, in its sole discretion, satisfy any U.S. and</w:t>
      </w:r>
      <w:r>
        <w:rPr>
          <w:rFonts w:ascii="Arial" w:cs="Arial" w:eastAsia="Arial" w:hAnsi="Arial"/>
          <w:sz w:val="18"/>
          <w:szCs w:val="18"/>
          <w:b w:val="1"/>
          <w:bCs w:val="1"/>
          <w:color w:val="auto"/>
        </w:rPr>
        <w:t xml:space="preserve"> </w:t>
      </w:r>
      <w:r>
        <w:rPr>
          <w:rFonts w:ascii="Arial" w:cs="Arial" w:eastAsia="Arial" w:hAnsi="Arial"/>
          <w:sz w:val="18"/>
          <w:szCs w:val="18"/>
          <w:color w:val="auto"/>
        </w:rPr>
        <w:t>non-U.S. federal, state or local tax withholding obligation relating to an Award by any of the following means or by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9" w:right="239" w:bottom="1440" w:gutter="0" w:footer="0" w:header="0"/>
        </w:sectPr>
      </w:pPr>
    </w:p>
    <w:bookmarkStart w:id="311" w:name="page312"/>
    <w:bookmarkEnd w:id="31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no shares of Common Stock are withheld with a value exceeding the maximum amount of tax that may be required to be withheld by law (or such other amount as may be permitted while still avoiding classification of the Stock Award as a liability for financial accounting purposes) ), and (B) with respect to an Award held by any Participant who is subject to the filing requirements of Section 16 of the Exchange Act, any such share withholding must be specifically approved by the Compensation Committee as the applicable method that must be used to satisfy the tax withholding obligation or such share withholding procedure must otherwise satisfy the requirements for an exempt transaction under Section 16(b) of the Exchange Act; (iii) withholding cash from an Award settled in cash; (iv) withholding payment from any amounts otherwise payable to the Participant; (v) by means of a “cashless exercise” pursuant to a program developed under Regulation T as promulgated by the Federal Reserve Board, or (vi) by such other method as may be set forth in the Award Agreement.</w:t>
      </w:r>
    </w:p>
    <w:p>
      <w:pPr>
        <w:spacing w:after="0" w:line="55" w:lineRule="exact"/>
        <w:rPr>
          <w:sz w:val="20"/>
          <w:szCs w:val="20"/>
          <w:color w:val="auto"/>
        </w:rPr>
      </w:pPr>
    </w:p>
    <w:p>
      <w:pPr>
        <w:ind w:right="140" w:firstLine="464"/>
        <w:spacing w:after="0" w:line="266" w:lineRule="auto"/>
        <w:tabs>
          <w:tab w:leader="none" w:pos="671"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Delivery. </w:t>
      </w:r>
      <w:r>
        <w:rPr>
          <w:rFonts w:ascii="Arial" w:cs="Arial" w:eastAsia="Arial" w:hAnsi="Arial"/>
          <w:sz w:val="18"/>
          <w:szCs w:val="18"/>
          <w:color w:val="auto"/>
        </w:rPr>
        <w:t>Any reference herein to a “written” agreement or document will include any agreement or document delivered electronically,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filed publicly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any successor website thereto) or posted on the Company’s intranet (or other shared electronic medium controlled by the Company to which the Participant has access).</w:t>
      </w:r>
    </w:p>
    <w:p>
      <w:pPr>
        <w:spacing w:after="0" w:line="68" w:lineRule="exact"/>
        <w:rPr>
          <w:rFonts w:ascii="Arial" w:cs="Arial" w:eastAsia="Arial" w:hAnsi="Arial"/>
          <w:sz w:val="18"/>
          <w:szCs w:val="18"/>
          <w:b w:val="1"/>
          <w:bCs w:val="1"/>
          <w:color w:val="auto"/>
        </w:rPr>
      </w:pPr>
    </w:p>
    <w:p>
      <w:pPr>
        <w:ind w:right="180" w:firstLine="464"/>
        <w:spacing w:after="0" w:line="273" w:lineRule="auto"/>
        <w:tabs>
          <w:tab w:leader="none" w:pos="681"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64" w:lineRule="exact"/>
        <w:rPr>
          <w:rFonts w:ascii="Arial" w:cs="Arial" w:eastAsia="Arial" w:hAnsi="Arial"/>
          <w:sz w:val="17"/>
          <w:szCs w:val="17"/>
          <w:b w:val="1"/>
          <w:bCs w:val="1"/>
          <w:color w:val="auto"/>
        </w:rPr>
      </w:pPr>
    </w:p>
    <w:p>
      <w:pPr>
        <w:ind w:firstLine="464"/>
        <w:spacing w:after="0" w:line="271" w:lineRule="auto"/>
        <w:tabs>
          <w:tab w:leader="none" w:pos="721"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Unless otherwise expressly provided for in an Award Agreement, the Plan and Award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312" w:name="page313"/>
    <w:bookmarkEnd w:id="31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75" w:lineRule="exact"/>
        <w:rPr>
          <w:sz w:val="20"/>
          <w:szCs w:val="20"/>
          <w:color w:val="auto"/>
        </w:rPr>
      </w:pPr>
    </w:p>
    <w:p>
      <w:pPr>
        <w:ind w:firstLine="464"/>
        <w:spacing w:after="0" w:line="273" w:lineRule="auto"/>
        <w:tabs>
          <w:tab w:leader="none" w:pos="671" w:val="left"/>
        </w:tabs>
        <w:numPr>
          <w:ilvl w:val="1"/>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Clawback/Recovery. </w:t>
      </w:r>
      <w:r>
        <w:rPr>
          <w:rFonts w:ascii="Arial" w:cs="Arial" w:eastAsia="Arial" w:hAnsi="Arial"/>
          <w:sz w:val="17"/>
          <w:szCs w:val="17"/>
          <w:color w:val="auto"/>
        </w:rPr>
        <w:t>All Awards granted under the Plan will be subject to recoupment in accordance with any clawback policy that the Company is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adopt pursuant to the listing standards of any national securities exchange or association on which the Company’s securities are listed or as is otherwise required by the U.S.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 or an Affiliate.</w:t>
      </w:r>
    </w:p>
    <w:p>
      <w:pPr>
        <w:spacing w:after="0" w:line="77" w:lineRule="exact"/>
        <w:rPr>
          <w:rFonts w:ascii="Arial" w:cs="Arial" w:eastAsia="Arial" w:hAnsi="Arial"/>
          <w:sz w:val="17"/>
          <w:szCs w:val="17"/>
          <w:b w:val="1"/>
          <w:bCs w:val="1"/>
          <w:color w:val="auto"/>
        </w:rPr>
      </w:pPr>
    </w:p>
    <w:p>
      <w:pPr>
        <w:ind w:left="460" w:hanging="452"/>
        <w:spacing w:after="0"/>
        <w:tabs>
          <w:tab w:leader="none" w:pos="4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120" w:firstLine="464"/>
        <w:spacing w:after="0" w:line="303" w:lineRule="auto"/>
        <w:tabs>
          <w:tab w:leader="none" w:pos="711" w:val="left"/>
        </w:tabs>
        <w:numPr>
          <w:ilvl w:val="1"/>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Adjustments. </w:t>
      </w:r>
      <w:r>
        <w:rPr>
          <w:rFonts w:ascii="Arial" w:cs="Arial" w:eastAsia="Arial" w:hAnsi="Arial"/>
          <w:sz w:val="16"/>
          <w:szCs w:val="16"/>
          <w:color w:val="auto"/>
        </w:rPr>
        <w:t>In the event of a Capitalization Adjustment, the Board will appropriately and proportionately adjust: (i) the class(es)</w:t>
      </w:r>
      <w:r>
        <w:rPr>
          <w:rFonts w:ascii="Arial" w:cs="Arial" w:eastAsia="Arial" w:hAnsi="Arial"/>
          <w:sz w:val="16"/>
          <w:szCs w:val="16"/>
          <w:b w:val="1"/>
          <w:bCs w:val="1"/>
          <w:color w:val="auto"/>
        </w:rPr>
        <w:t xml:space="preserve"> </w:t>
      </w:r>
      <w:r>
        <w:rPr>
          <w:rFonts w:ascii="Arial" w:cs="Arial" w:eastAsia="Arial" w:hAnsi="Arial"/>
          <w:sz w:val="16"/>
          <w:szCs w:val="16"/>
          <w:color w:val="auto"/>
        </w:rPr>
        <w:t>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spacing w:after="0" w:line="43" w:lineRule="exact"/>
        <w:rPr>
          <w:rFonts w:ascii="Arial" w:cs="Arial" w:eastAsia="Arial" w:hAnsi="Arial"/>
          <w:sz w:val="16"/>
          <w:szCs w:val="16"/>
          <w:b w:val="1"/>
          <w:bCs w:val="1"/>
          <w:color w:val="auto"/>
        </w:rPr>
      </w:pPr>
    </w:p>
    <w:p>
      <w:pPr>
        <w:ind w:firstLine="464"/>
        <w:spacing w:after="0" w:line="273" w:lineRule="auto"/>
        <w:tabs>
          <w:tab w:leader="none" w:pos="721" w:val="left"/>
        </w:tabs>
        <w:numPr>
          <w:ilvl w:val="1"/>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Dissolution or Liquidation. </w:t>
      </w:r>
      <w:r>
        <w:rPr>
          <w:rFonts w:ascii="Arial" w:cs="Arial" w:eastAsia="Arial" w:hAnsi="Arial"/>
          <w:sz w:val="17"/>
          <w:szCs w:val="17"/>
          <w:color w:val="auto"/>
        </w:rPr>
        <w:t>Except as otherwise provided in the Stock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64" w:lineRule="exact"/>
        <w:rPr>
          <w:rFonts w:ascii="Arial" w:cs="Arial" w:eastAsia="Arial" w:hAnsi="Arial"/>
          <w:sz w:val="17"/>
          <w:szCs w:val="17"/>
          <w:b w:val="1"/>
          <w:bCs w:val="1"/>
          <w:color w:val="auto"/>
        </w:rPr>
      </w:pPr>
    </w:p>
    <w:p>
      <w:pPr>
        <w:jc w:val="both"/>
        <w:ind w:right="40" w:firstLine="464"/>
        <w:spacing w:after="0" w:line="303" w:lineRule="auto"/>
        <w:tabs>
          <w:tab w:leader="none" w:pos="701" w:val="left"/>
        </w:tabs>
        <w:numPr>
          <w:ilvl w:val="1"/>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Transaction. </w:t>
      </w:r>
      <w:r>
        <w:rPr>
          <w:rFonts w:ascii="Arial" w:cs="Arial" w:eastAsia="Arial" w:hAnsi="Arial"/>
          <w:sz w:val="16"/>
          <w:szCs w:val="16"/>
          <w:color w:val="auto"/>
        </w:rPr>
        <w:t>The following provisions will apply to Stock Awards in the event of a Corporate Transaction unless otherwise provided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 Award Agreement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may take one or more of the following actions with respect to Stock Awards, contingent upon the closing or completion of the Corporate Transaction:</w:t>
      </w:r>
    </w:p>
    <w:p>
      <w:pPr>
        <w:spacing w:after="0" w:line="47" w:lineRule="exact"/>
        <w:rPr>
          <w:rFonts w:ascii="Arial" w:cs="Arial" w:eastAsia="Arial" w:hAnsi="Arial"/>
          <w:sz w:val="16"/>
          <w:szCs w:val="16"/>
          <w:b w:val="1"/>
          <w:bCs w:val="1"/>
          <w:color w:val="auto"/>
        </w:rPr>
      </w:pPr>
    </w:p>
    <w:p>
      <w:pPr>
        <w:ind w:right="20" w:firstLine="921"/>
        <w:spacing w:after="0" w:line="264" w:lineRule="auto"/>
        <w:tabs>
          <w:tab w:leader="none" w:pos="1128" w:val="left"/>
        </w:tabs>
        <w:numPr>
          <w:ilvl w:val="2"/>
          <w:numId w:val="286"/>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3" w:right="259" w:bottom="1440" w:gutter="0" w:footer="0" w:header="0"/>
        </w:sectPr>
      </w:pPr>
    </w:p>
    <w:bookmarkStart w:id="313" w:name="page314"/>
    <w:bookmarkEnd w:id="313"/>
    <w:p>
      <w:pPr>
        <w:ind w:firstLine="921"/>
        <w:spacing w:after="0" w:line="277" w:lineRule="auto"/>
        <w:tabs>
          <w:tab w:leader="none" w:pos="1178"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62" w:lineRule="exact"/>
        <w:rPr>
          <w:rFonts w:ascii="Arial" w:cs="Arial" w:eastAsia="Arial" w:hAnsi="Arial"/>
          <w:sz w:val="18"/>
          <w:szCs w:val="18"/>
          <w:b w:val="1"/>
          <w:bCs w:val="1"/>
          <w:color w:val="auto"/>
        </w:rPr>
      </w:pPr>
    </w:p>
    <w:p>
      <w:pPr>
        <w:ind w:right="60" w:firstLine="921"/>
        <w:spacing w:after="0" w:line="297" w:lineRule="auto"/>
        <w:tabs>
          <w:tab w:leader="none" w:pos="1228" w:val="left"/>
        </w:tabs>
        <w:numPr>
          <w:ilvl w:val="0"/>
          <w:numId w:val="287"/>
        </w:numPr>
        <w:rPr>
          <w:rFonts w:ascii="Arial" w:cs="Arial" w:eastAsia="Arial" w:hAnsi="Arial"/>
          <w:sz w:val="16"/>
          <w:szCs w:val="16"/>
          <w:b w:val="1"/>
          <w:bCs w:val="1"/>
          <w:color w:val="auto"/>
        </w:rPr>
      </w:pPr>
      <w:r>
        <w:rPr>
          <w:rFonts w:ascii="Arial" w:cs="Arial" w:eastAsia="Arial" w:hAnsi="Arial"/>
          <w:sz w:val="16"/>
          <w:szCs w:val="16"/>
          <w:color w:val="auto"/>
        </w:rPr>
        <w:t xml:space="preserve">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days prior to the effective date of the Corporate Transaction), which exercise is contingent upon the effectiveness of such Corporate Transaction with such Stock Award terminating if not exercised (if applicable) at or prior to the effective time of the Corporate Transaction;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require Participants to complete and deliver to the Company a notice of exercise before the effective date of a Corporate Transaction</w:t>
      </w:r>
    </w:p>
    <w:p>
      <w:pPr>
        <w:spacing w:after="0" w:line="50" w:lineRule="exact"/>
        <w:rPr>
          <w:rFonts w:ascii="Arial" w:cs="Arial" w:eastAsia="Arial" w:hAnsi="Arial"/>
          <w:sz w:val="16"/>
          <w:szCs w:val="16"/>
          <w:b w:val="1"/>
          <w:bCs w:val="1"/>
          <w:color w:val="auto"/>
        </w:rPr>
      </w:pPr>
    </w:p>
    <w:p>
      <w:pPr>
        <w:ind w:left="1220" w:hanging="299"/>
        <w:spacing w:after="0"/>
        <w:tabs>
          <w:tab w:leader="none" w:pos="1220" w:val="left"/>
        </w:tabs>
        <w:numPr>
          <w:ilvl w:val="0"/>
          <w:numId w:val="287"/>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 Stock Award;</w:t>
      </w:r>
    </w:p>
    <w:p>
      <w:pPr>
        <w:spacing w:after="0" w:line="140" w:lineRule="exact"/>
        <w:rPr>
          <w:rFonts w:ascii="Arial" w:cs="Arial" w:eastAsia="Arial" w:hAnsi="Arial"/>
          <w:sz w:val="16"/>
          <w:szCs w:val="16"/>
          <w:b w:val="1"/>
          <w:bCs w:val="1"/>
          <w:color w:val="auto"/>
        </w:rPr>
      </w:pPr>
    </w:p>
    <w:p>
      <w:pPr>
        <w:ind w:right="20" w:firstLine="921"/>
        <w:spacing w:after="0" w:line="277" w:lineRule="auto"/>
        <w:tabs>
          <w:tab w:leader="none" w:pos="1168"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62" w:lineRule="exact"/>
        <w:rPr>
          <w:rFonts w:ascii="Arial" w:cs="Arial" w:eastAsia="Arial" w:hAnsi="Arial"/>
          <w:sz w:val="18"/>
          <w:szCs w:val="18"/>
          <w:b w:val="1"/>
          <w:bCs w:val="1"/>
          <w:color w:val="auto"/>
        </w:rPr>
      </w:pPr>
    </w:p>
    <w:p>
      <w:pPr>
        <w:ind w:right="60" w:firstLine="921"/>
        <w:spacing w:after="0" w:line="273" w:lineRule="auto"/>
        <w:tabs>
          <w:tab w:leader="none" w:pos="1218" w:val="left"/>
        </w:tabs>
        <w:numPr>
          <w:ilvl w:val="0"/>
          <w:numId w:val="287"/>
        </w:numPr>
        <w:rPr>
          <w:rFonts w:ascii="Arial" w:cs="Arial" w:eastAsia="Arial" w:hAnsi="Arial"/>
          <w:sz w:val="17"/>
          <w:szCs w:val="17"/>
          <w:b w:val="1"/>
          <w:bCs w:val="1"/>
          <w:color w:val="auto"/>
        </w:rPr>
      </w:pPr>
      <w:r>
        <w:rPr>
          <w:rFonts w:ascii="Arial" w:cs="Arial" w:eastAsia="Arial" w:hAnsi="Arial"/>
          <w:sz w:val="17"/>
          <w:szCs w:val="17"/>
          <w:color w:val="auto"/>
        </w:rPr>
        <w:t>make a payment, in such form as may be determined by the Board equal to the excess, if any, of (A) the per share amount (or value of property per share) payable to holders of Common Stock in connection with the Transaction, over (B) the per share exercise price under the applicable Stock Award, multiplied by the number of shares subject to the Stock Award. For clarity, this payment may be zero (U.S. $0) if the amount per share (or value of property per share) payable to the holders of the Common Stock is equal to or less than the exercise price of the Stock Award. In addition, any escrow, holdback, earnout or similar provisions in the definitive agreement for the Transaction may apply to such payment to the holder of the Stock Award to the same extent and in the same manner as such provisions apply to the holders of Common Stock.</w:t>
      </w:r>
    </w:p>
    <w:p>
      <w:pPr>
        <w:spacing w:after="0" w:line="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58" w:lineRule="exact"/>
        <w:rPr>
          <w:sz w:val="20"/>
          <w:szCs w:val="20"/>
          <w:color w:val="auto"/>
        </w:rPr>
      </w:pPr>
    </w:p>
    <w:p>
      <w:pPr>
        <w:ind w:right="220" w:firstLine="464"/>
        <w:spacing w:after="0" w:line="266" w:lineRule="auto"/>
        <w:tabs>
          <w:tab w:leader="none" w:pos="721"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A Stock Award may be subject to additional acceleration of vesting and exercisability upon or after a Change in Control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314" w:name="page315"/>
    <w:bookmarkEnd w:id="314"/>
    <w:p>
      <w:pPr>
        <w:ind w:left="460" w:hanging="452"/>
        <w:spacing w:after="0"/>
        <w:tabs>
          <w:tab w:leader="none" w:pos="4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Board may suspend or terminate the Plan at any time. No Incentive Stock Options may be granted after the tenth anniversary of the earlier of</w:t>
      </w:r>
    </w:p>
    <w:p>
      <w:pPr>
        <w:spacing w:after="0" w:line="35" w:lineRule="exact"/>
        <w:rPr>
          <w:sz w:val="20"/>
          <w:szCs w:val="20"/>
          <w:color w:val="auto"/>
        </w:rPr>
      </w:pPr>
    </w:p>
    <w:p>
      <w:pPr>
        <w:ind w:right="160" w:firstLine="8"/>
        <w:spacing w:after="0" w:line="261" w:lineRule="auto"/>
        <w:tabs>
          <w:tab w:leader="none" w:pos="21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Adoption Date, or (ii) the date the Plan is approved by the stockholders of the Company. No Awards may be granted under the Plan while the Plan is suspended or after it is terminated.</w:t>
      </w:r>
    </w:p>
    <w:p>
      <w:pPr>
        <w:spacing w:after="0" w:line="85" w:lineRule="exact"/>
        <w:rPr>
          <w:sz w:val="20"/>
          <w:szCs w:val="20"/>
          <w:color w:val="auto"/>
        </w:rPr>
      </w:pPr>
    </w:p>
    <w:p>
      <w:pPr>
        <w:ind w:left="460" w:hanging="452"/>
        <w:spacing w:after="0"/>
        <w:tabs>
          <w:tab w:leader="none" w:pos="4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XISTENCE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IMING OF</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IRST</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RANT OR</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Plan will come into existence on the Adoption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no Award may be granted prior to the IPO Date (that is, the Effective Date). In addition, no Stock Award will be exercised (or, in the case of a Restricted Stock Award, Restricted Stock Unit Award, Performance Stock Award, or Other Stock Award, will be granted) and no Performance Cash Award will be settled unless and until the Plan has been approved by the stockholders of the Company, which approval will be within 12 months after the Adoption Date.</w:t>
      </w:r>
    </w:p>
    <w:p>
      <w:pPr>
        <w:spacing w:after="0" w:line="88" w:lineRule="exact"/>
        <w:rPr>
          <w:sz w:val="20"/>
          <w:szCs w:val="20"/>
          <w:color w:val="auto"/>
        </w:rPr>
      </w:pPr>
    </w:p>
    <w:p>
      <w:pPr>
        <w:ind w:left="460" w:hanging="452"/>
        <w:spacing w:after="0"/>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law of the State of Delaware will govern all questions concerning the construction, validity and interpretation of this Plan, without regard to that state’s conflict of laws rules.</w:t>
      </w:r>
    </w:p>
    <w:p>
      <w:pPr>
        <w:spacing w:after="0" w:line="72" w:lineRule="exact"/>
        <w:rPr>
          <w:sz w:val="20"/>
          <w:szCs w:val="20"/>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r>
        <w:rPr>
          <w:rFonts w:ascii="Arial" w:cs="Arial" w:eastAsia="Arial" w:hAnsi="Arial"/>
          <w:sz w:val="18"/>
          <w:szCs w:val="18"/>
          <w:color w:val="auto"/>
        </w:rPr>
        <w:t>. As used in the Plan, the following definitions will apply to the capitalized terms indicated below:</w:t>
      </w:r>
    </w:p>
    <w:p>
      <w:pPr>
        <w:spacing w:after="0" w:line="121" w:lineRule="exact"/>
        <w:rPr>
          <w:rFonts w:ascii="Arial" w:cs="Arial" w:eastAsia="Arial" w:hAnsi="Arial"/>
          <w:sz w:val="18"/>
          <w:szCs w:val="18"/>
          <w:b w:val="1"/>
          <w:bCs w:val="1"/>
          <w:color w:val="auto"/>
        </w:rPr>
      </w:pPr>
    </w:p>
    <w:p>
      <w:pPr>
        <w:ind w:left="720" w:hanging="256"/>
        <w:spacing w:after="0"/>
        <w:tabs>
          <w:tab w:leader="none" w:pos="720"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“Adoption Date” </w:t>
      </w:r>
      <w:r>
        <w:rPr>
          <w:rFonts w:ascii="Arial" w:cs="Arial" w:eastAsia="Arial" w:hAnsi="Arial"/>
          <w:sz w:val="18"/>
          <w:szCs w:val="18"/>
          <w:color w:val="auto"/>
        </w:rPr>
        <w:t>means the date the Plan is adopted by the Board.</w:t>
      </w:r>
    </w:p>
    <w:p>
      <w:pPr>
        <w:spacing w:after="0" w:line="117" w:lineRule="exact"/>
        <w:rPr>
          <w:rFonts w:ascii="Arial" w:cs="Arial" w:eastAsia="Arial" w:hAnsi="Arial"/>
          <w:sz w:val="18"/>
          <w:szCs w:val="18"/>
          <w:b w:val="1"/>
          <w:bCs w:val="1"/>
          <w:color w:val="auto"/>
        </w:rPr>
      </w:pPr>
    </w:p>
    <w:p>
      <w:pPr>
        <w:ind w:right="160" w:firstLine="464"/>
        <w:spacing w:after="0" w:line="264" w:lineRule="auto"/>
        <w:tabs>
          <w:tab w:leader="none" w:pos="721"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at the time of determination, any “parent” or “subsidiary” of the Company as such terms are defined in Rule 405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Act. The Board will have the authority to determine the time or times at which “parent” or “subsidiary” status is determined within the foregoing definition.</w:t>
      </w:r>
    </w:p>
    <w:p>
      <w:pPr>
        <w:spacing w:after="0" w:line="73" w:lineRule="exact"/>
        <w:rPr>
          <w:rFonts w:ascii="Arial" w:cs="Arial" w:eastAsia="Arial" w:hAnsi="Arial"/>
          <w:sz w:val="18"/>
          <w:szCs w:val="18"/>
          <w:b w:val="1"/>
          <w:bCs w:val="1"/>
          <w:color w:val="auto"/>
        </w:rPr>
      </w:pPr>
    </w:p>
    <w:p>
      <w:pPr>
        <w:ind w:left="700" w:hanging="236"/>
        <w:spacing w:after="0"/>
        <w:tabs>
          <w:tab w:leader="none" w:pos="700"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“Award” </w:t>
      </w:r>
      <w:r>
        <w:rPr>
          <w:rFonts w:ascii="Arial" w:cs="Arial" w:eastAsia="Arial" w:hAnsi="Arial"/>
          <w:sz w:val="18"/>
          <w:szCs w:val="18"/>
          <w:color w:val="auto"/>
        </w:rPr>
        <w:t>means a Stock Award or a Performance Cash Award.</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2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“Award Agreement” </w:t>
      </w:r>
      <w:r>
        <w:rPr>
          <w:rFonts w:ascii="Arial" w:cs="Arial" w:eastAsia="Arial" w:hAnsi="Arial"/>
          <w:sz w:val="17"/>
          <w:szCs w:val="17"/>
          <w:color w:val="auto"/>
        </w:rPr>
        <w:t>means a written agreement between the Company and a Participant evidencing the terms and conditions of an Award.</w:t>
      </w:r>
    </w:p>
    <w:p>
      <w:pPr>
        <w:spacing w:after="0" w:line="128" w:lineRule="exact"/>
        <w:rPr>
          <w:rFonts w:ascii="Arial" w:cs="Arial" w:eastAsia="Arial" w:hAnsi="Arial"/>
          <w:sz w:val="17"/>
          <w:szCs w:val="17"/>
          <w:b w:val="1"/>
          <w:bCs w:val="1"/>
          <w:color w:val="auto"/>
        </w:rPr>
      </w:pPr>
    </w:p>
    <w:p>
      <w:pPr>
        <w:ind w:left="700" w:hanging="236"/>
        <w:spacing w:after="0"/>
        <w:tabs>
          <w:tab w:leader="none" w:pos="700"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117" w:lineRule="exact"/>
        <w:rPr>
          <w:rFonts w:ascii="Arial" w:cs="Arial" w:eastAsia="Arial" w:hAnsi="Arial"/>
          <w:sz w:val="18"/>
          <w:szCs w:val="18"/>
          <w:b w:val="1"/>
          <w:bCs w:val="1"/>
          <w:color w:val="auto"/>
        </w:rPr>
      </w:pPr>
    </w:p>
    <w:p>
      <w:pPr>
        <w:ind w:left="680" w:hanging="216"/>
        <w:spacing w:after="0"/>
        <w:tabs>
          <w:tab w:leader="none" w:pos="680"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“Capital Stock” </w:t>
      </w:r>
      <w:r>
        <w:rPr>
          <w:rFonts w:ascii="Arial" w:cs="Arial" w:eastAsia="Arial" w:hAnsi="Arial"/>
          <w:sz w:val="18"/>
          <w:szCs w:val="18"/>
          <w:color w:val="auto"/>
        </w:rPr>
        <w:t>means each and every class of common stock of the Company, regardless of the number of votes per share.</w:t>
      </w:r>
    </w:p>
    <w:p>
      <w:pPr>
        <w:spacing w:after="0" w:line="117" w:lineRule="exact"/>
        <w:rPr>
          <w:rFonts w:ascii="Arial" w:cs="Arial" w:eastAsia="Arial" w:hAnsi="Arial"/>
          <w:sz w:val="18"/>
          <w:szCs w:val="18"/>
          <w:b w:val="1"/>
          <w:bCs w:val="1"/>
          <w:color w:val="auto"/>
        </w:rPr>
      </w:pPr>
    </w:p>
    <w:p>
      <w:pPr>
        <w:ind w:firstLine="464"/>
        <w:spacing w:after="0" w:line="277" w:lineRule="auto"/>
        <w:tabs>
          <w:tab w:leader="none" w:pos="711"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“Capitalization Adjustment” </w:t>
      </w:r>
      <w:r>
        <w:rPr>
          <w:rFonts w:ascii="Arial" w:cs="Arial" w:eastAsia="Arial" w:hAnsi="Arial"/>
          <w:sz w:val="18"/>
          <w:szCs w:val="18"/>
          <w:color w:val="auto"/>
        </w:rPr>
        <w:t>means any change that is made in, or other events that occur with respect to, the Common Stock subject to the Plan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any Stock Award after the Adoption Date without the receipt of consideration by the Company through merger,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69" w:right="299" w:bottom="1440" w:gutter="0" w:footer="0" w:header="0"/>
        </w:sectPr>
      </w:pPr>
    </w:p>
    <w:bookmarkStart w:id="315" w:name="page316"/>
    <w:bookmarkEnd w:id="315"/>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46" w:lineRule="exact"/>
        <w:rPr>
          <w:sz w:val="20"/>
          <w:szCs w:val="20"/>
          <w:color w:val="auto"/>
        </w:rPr>
      </w:pPr>
    </w:p>
    <w:p>
      <w:pPr>
        <w:ind w:firstLine="464"/>
        <w:spacing w:after="0" w:line="286" w:lineRule="auto"/>
        <w:tabs>
          <w:tab w:leader="none" w:pos="721" w:val="left"/>
        </w:tabs>
        <w:numPr>
          <w:ilvl w:val="1"/>
          <w:numId w:val="29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will have the meaning ascribed to such term in any written agreement between the Participant and the Company defining such term and,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absence of such agreement, such term means, with respect to a Participant, the occurrence of any of the following events: (i) such Participant’s commission of any felony or any crime involving fraud, dishonesty or moral turpitude under the laws of the United States, any state thereof, or any applicable foreign jurisdiction; (ii) such Participant’s attempted commission of, or participation in, a fraud or act of dishonesty against the Company or any Affiliate;</w:t>
      </w:r>
    </w:p>
    <w:p>
      <w:pPr>
        <w:spacing w:after="0" w:line="1" w:lineRule="exact"/>
        <w:rPr>
          <w:rFonts w:ascii="Arial" w:cs="Arial" w:eastAsia="Arial" w:hAnsi="Arial"/>
          <w:sz w:val="16"/>
          <w:szCs w:val="16"/>
          <w:b w:val="1"/>
          <w:bCs w:val="1"/>
          <w:color w:val="auto"/>
        </w:rPr>
      </w:pPr>
    </w:p>
    <w:p>
      <w:pPr>
        <w:ind w:right="80" w:firstLine="8"/>
        <w:spacing w:after="0" w:line="270" w:lineRule="auto"/>
        <w:tabs>
          <w:tab w:leader="none" w:pos="315" w:val="left"/>
        </w:tabs>
        <w:numPr>
          <w:ilvl w:val="0"/>
          <w:numId w:val="295"/>
        </w:numPr>
        <w:rPr>
          <w:rFonts w:ascii="Arial" w:cs="Arial" w:eastAsia="Arial" w:hAnsi="Arial"/>
          <w:sz w:val="17"/>
          <w:szCs w:val="17"/>
          <w:color w:val="auto"/>
        </w:rPr>
      </w:pPr>
      <w:r>
        <w:rPr>
          <w:rFonts w:ascii="Arial" w:cs="Arial" w:eastAsia="Arial" w:hAnsi="Arial"/>
          <w:sz w:val="17"/>
          <w:szCs w:val="17"/>
          <w:color w:val="auto"/>
        </w:rPr>
        <w:t>such Participant’s intentional, material violation of any contract or agreement between the Participant and the Company or any Affiliate or of any statutory duty owed to the Company or any Affiliate; (iv) such Participant’s unauthorized use or disclosure of the Company’s or any Affiliate’s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by reason of dismissal without Cause for the purposes of outstanding Stock Awards held by such Participant shall have no effect upon any determination of the rights or obligations of the Company or such Participant for any other purpose.</w:t>
      </w:r>
    </w:p>
    <w:p>
      <w:pPr>
        <w:spacing w:after="0" w:line="70" w:lineRule="exact"/>
        <w:rPr>
          <w:rFonts w:ascii="Arial" w:cs="Arial" w:eastAsia="Arial" w:hAnsi="Arial"/>
          <w:sz w:val="17"/>
          <w:szCs w:val="17"/>
          <w:color w:val="auto"/>
        </w:rPr>
      </w:pPr>
    </w:p>
    <w:p>
      <w:pPr>
        <w:ind w:left="680" w:hanging="216"/>
        <w:spacing w:after="0"/>
        <w:tabs>
          <w:tab w:leader="none" w:pos="680" w:val="left"/>
        </w:tabs>
        <w:numPr>
          <w:ilvl w:val="1"/>
          <w:numId w:val="29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“Change in Control” </w:t>
      </w:r>
      <w:r>
        <w:rPr>
          <w:rFonts w:ascii="Arial" w:cs="Arial" w:eastAsia="Arial" w:hAnsi="Arial"/>
          <w:sz w:val="16"/>
          <w:szCs w:val="16"/>
          <w:color w:val="auto"/>
        </w:rPr>
        <w:t>means the occurrence, in a single transaction or in a series of related transactions, of any one or more of the following events:</w:t>
      </w:r>
    </w:p>
    <w:p>
      <w:pPr>
        <w:spacing w:after="0" w:line="140" w:lineRule="exact"/>
        <w:rPr>
          <w:rFonts w:ascii="Arial" w:cs="Arial" w:eastAsia="Arial" w:hAnsi="Arial"/>
          <w:sz w:val="16"/>
          <w:szCs w:val="16"/>
          <w:b w:val="1"/>
          <w:bCs w:val="1"/>
          <w:color w:val="auto"/>
        </w:rPr>
      </w:pPr>
    </w:p>
    <w:p>
      <w:pPr>
        <w:ind w:right="140" w:firstLine="921"/>
        <w:spacing w:after="0" w:line="288" w:lineRule="auto"/>
        <w:tabs>
          <w:tab w:leader="none" w:pos="1128" w:val="left"/>
        </w:tabs>
        <w:numPr>
          <w:ilvl w:val="2"/>
          <w:numId w:val="295"/>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w:t>
      </w:r>
    </w:p>
    <w:p>
      <w:pPr>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IPO Date, either an executive officer or a Director (either, an “</w:t>
      </w:r>
      <w:r>
        <w:rPr>
          <w:rFonts w:ascii="Arial" w:cs="Arial" w:eastAsia="Arial" w:hAnsi="Arial"/>
          <w:sz w:val="17"/>
          <w:szCs w:val="17"/>
          <w:b w:val="1"/>
          <w:bCs w:val="1"/>
          <w:i w:val="1"/>
          <w:iCs w:val="1"/>
          <w:color w:val="auto"/>
        </w:rPr>
        <w:t>IPO Investor</w:t>
      </w:r>
      <w:r>
        <w:rPr>
          <w:rFonts w:ascii="Arial" w:cs="Arial" w:eastAsia="Arial" w:hAnsi="Arial"/>
          <w:sz w:val="17"/>
          <w:szCs w:val="17"/>
          <w:color w:val="auto"/>
        </w:rPr>
        <w:t>”) and/or any entity in which an IPO Investor has a direct or indirect interest (whether in the form of voting rights or participation in profits or capital contributions) of more than 50% (collectively, the “</w:t>
      </w:r>
      <w:r>
        <w:rPr>
          <w:rFonts w:ascii="Arial" w:cs="Arial" w:eastAsia="Arial" w:hAnsi="Arial"/>
          <w:sz w:val="17"/>
          <w:szCs w:val="17"/>
          <w:b w:val="1"/>
          <w:bCs w:val="1"/>
          <w:i w:val="1"/>
          <w:iCs w:val="1"/>
          <w:color w:val="auto"/>
        </w:rPr>
        <w:t>IPO Entities</w:t>
      </w:r>
      <w:r>
        <w:rPr>
          <w:rFonts w:ascii="Arial" w:cs="Arial" w:eastAsia="Arial" w:hAnsi="Arial"/>
          <w:sz w:val="17"/>
          <w:szCs w:val="17"/>
          <w:color w:val="auto"/>
        </w:rPr>
        <w:t>”) or on account of the IPO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Arial" w:cs="Arial" w:eastAsia="Arial" w:hAnsi="Arial"/>
          <w:sz w:val="17"/>
          <w:szCs w:val="17"/>
          <w:b w:val="1"/>
          <w:bCs w:val="1"/>
          <w:i w:val="1"/>
          <w:iCs w:val="1"/>
          <w:color w:val="auto"/>
        </w:rPr>
        <w:t>Subject Person</w:t>
      </w:r>
      <w:r>
        <w:rPr>
          <w:rFonts w:ascii="Arial" w:cs="Arial" w:eastAsia="Arial" w:hAnsi="Arial"/>
          <w:sz w:val="17"/>
          <w:szCs w:val="17"/>
          <w:color w:val="auto"/>
        </w:rPr>
        <w:t>”) exceeds the designated percentage threshold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3" w:right="259" w:bottom="1440" w:gutter="0" w:footer="0" w:header="0"/>
        </w:sectPr>
      </w:pPr>
    </w:p>
    <w:bookmarkStart w:id="316" w:name="page317"/>
    <w:bookmarkEnd w:id="316"/>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80" w:lineRule="exact"/>
        <w:rPr>
          <w:sz w:val="20"/>
          <w:szCs w:val="20"/>
          <w:color w:val="auto"/>
        </w:rPr>
      </w:pPr>
    </w:p>
    <w:p>
      <w:pPr>
        <w:ind w:firstLine="921"/>
        <w:spacing w:after="0" w:line="254" w:lineRule="auto"/>
        <w:tabs>
          <w:tab w:leader="none" w:pos="1178"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84" w:lineRule="exact"/>
        <w:rPr>
          <w:rFonts w:ascii="Arial" w:cs="Arial" w:eastAsia="Arial" w:hAnsi="Arial"/>
          <w:sz w:val="18"/>
          <w:szCs w:val="18"/>
          <w:b w:val="1"/>
          <w:bCs w:val="1"/>
          <w:color w:val="auto"/>
        </w:rPr>
      </w:pPr>
    </w:p>
    <w:p>
      <w:pPr>
        <w:ind w:right="40" w:firstLine="921"/>
        <w:spacing w:after="0" w:line="272" w:lineRule="auto"/>
        <w:tabs>
          <w:tab w:leader="none" w:pos="1228" w:val="left"/>
        </w:tabs>
        <w:numPr>
          <w:ilvl w:val="0"/>
          <w:numId w:val="296"/>
        </w:numPr>
        <w:rPr>
          <w:rFonts w:ascii="Arial" w:cs="Arial" w:eastAsia="Arial" w:hAnsi="Arial"/>
          <w:sz w:val="17"/>
          <w:szCs w:val="17"/>
          <w:b w:val="1"/>
          <w:bCs w:val="1"/>
          <w:color w:val="auto"/>
        </w:rPr>
      </w:pPr>
      <w:r>
        <w:rPr>
          <w:rFonts w:ascii="Arial" w:cs="Arial" w:eastAsia="Arial" w:hAnsi="Arial"/>
          <w:sz w:val="17"/>
          <w:szCs w:val="17"/>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 or</w:t>
      </w:r>
    </w:p>
    <w:p>
      <w:pPr>
        <w:spacing w:after="0" w:line="69" w:lineRule="exact"/>
        <w:rPr>
          <w:rFonts w:ascii="Arial" w:cs="Arial" w:eastAsia="Arial" w:hAnsi="Arial"/>
          <w:sz w:val="17"/>
          <w:szCs w:val="17"/>
          <w:b w:val="1"/>
          <w:bCs w:val="1"/>
          <w:color w:val="auto"/>
        </w:rPr>
      </w:pPr>
    </w:p>
    <w:p>
      <w:pPr>
        <w:ind w:right="180" w:firstLine="921"/>
        <w:spacing w:after="0" w:line="259" w:lineRule="auto"/>
        <w:tabs>
          <w:tab w:leader="none" w:pos="1218"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Notwithstanding the foregoing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317" w:name="page318"/>
    <w:bookmarkEnd w:id="31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no definition of Change in Control or any analogous term is set forth in such an individual written agreement, the foregoing definition will apply. To the extent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Regulations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70" w:lineRule="exact"/>
        <w:rPr>
          <w:sz w:val="20"/>
          <w:szCs w:val="20"/>
          <w:color w:val="auto"/>
        </w:rPr>
      </w:pPr>
    </w:p>
    <w:p>
      <w:pPr>
        <w:ind w:left="680" w:hanging="216"/>
        <w:spacing w:after="0"/>
        <w:tabs>
          <w:tab w:leader="none" w:pos="680" w:val="left"/>
        </w:tabs>
        <w:numPr>
          <w:ilvl w:val="1"/>
          <w:numId w:val="2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 including any applicable regulations and guidance thereunder.</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29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“Committee” </w:t>
      </w:r>
      <w:r>
        <w:rPr>
          <w:rFonts w:ascii="Arial" w:cs="Arial" w:eastAsia="Arial" w:hAnsi="Arial"/>
          <w:sz w:val="16"/>
          <w:szCs w:val="16"/>
          <w:color w:val="auto"/>
        </w:rPr>
        <w:t>means a committee of one or more Directors to whom authority has been delegated by the Board in accordance with Section 2(c).</w:t>
      </w:r>
    </w:p>
    <w:p>
      <w:pPr>
        <w:spacing w:after="0" w:line="140" w:lineRule="exact"/>
        <w:rPr>
          <w:rFonts w:ascii="Arial" w:cs="Arial" w:eastAsia="Arial" w:hAnsi="Arial"/>
          <w:sz w:val="16"/>
          <w:szCs w:val="16"/>
          <w:b w:val="1"/>
          <w:bCs w:val="1"/>
          <w:color w:val="auto"/>
        </w:rPr>
      </w:pPr>
    </w:p>
    <w:p>
      <w:pPr>
        <w:ind w:left="680" w:hanging="216"/>
        <w:spacing w:after="0"/>
        <w:tabs>
          <w:tab w:leader="none" w:pos="680" w:val="left"/>
        </w:tabs>
        <w:numPr>
          <w:ilvl w:val="1"/>
          <w:numId w:val="2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as of the IPO Date, the common stock of the Company, having one vote per share.</w:t>
      </w:r>
    </w:p>
    <w:p>
      <w:pPr>
        <w:spacing w:after="0" w:line="117" w:lineRule="exact"/>
        <w:rPr>
          <w:rFonts w:ascii="Arial" w:cs="Arial" w:eastAsia="Arial" w:hAnsi="Arial"/>
          <w:sz w:val="18"/>
          <w:szCs w:val="18"/>
          <w:b w:val="1"/>
          <w:bCs w:val="1"/>
          <w:color w:val="auto"/>
        </w:rPr>
      </w:pPr>
    </w:p>
    <w:p>
      <w:pPr>
        <w:ind w:left="780" w:hanging="316"/>
        <w:spacing w:after="0"/>
        <w:tabs>
          <w:tab w:leader="none" w:pos="780" w:val="left"/>
        </w:tabs>
        <w:numPr>
          <w:ilvl w:val="1"/>
          <w:numId w:val="2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Forty Seven, Inc., a Delaware corporation.</w:t>
      </w:r>
    </w:p>
    <w:p>
      <w:pPr>
        <w:spacing w:after="0" w:line="117" w:lineRule="exact"/>
        <w:rPr>
          <w:rFonts w:ascii="Arial" w:cs="Arial" w:eastAsia="Arial" w:hAnsi="Arial"/>
          <w:sz w:val="18"/>
          <w:szCs w:val="18"/>
          <w:b w:val="1"/>
          <w:bCs w:val="1"/>
          <w:color w:val="auto"/>
        </w:rPr>
      </w:pPr>
    </w:p>
    <w:p>
      <w:pPr>
        <w:ind w:right="100" w:firstLine="464"/>
        <w:spacing w:after="0" w:line="276" w:lineRule="auto"/>
        <w:tabs>
          <w:tab w:leader="none" w:pos="721" w:val="left"/>
        </w:tabs>
        <w:numPr>
          <w:ilvl w:val="1"/>
          <w:numId w:val="29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“Consultant” </w:t>
      </w:r>
      <w:r>
        <w:rPr>
          <w:rFonts w:ascii="Arial" w:cs="Arial" w:eastAsia="Arial" w:hAnsi="Arial"/>
          <w:sz w:val="17"/>
          <w:szCs w:val="17"/>
          <w:color w:val="auto"/>
        </w:rPr>
        <w:t>means any person, including an advisor, who is (i) engaged by the Company or an Affiliate to render consulting or advisory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64" w:lineRule="exact"/>
        <w:rPr>
          <w:rFonts w:ascii="Arial" w:cs="Arial" w:eastAsia="Arial" w:hAnsi="Arial"/>
          <w:sz w:val="17"/>
          <w:szCs w:val="17"/>
          <w:b w:val="1"/>
          <w:bCs w:val="1"/>
          <w:color w:val="auto"/>
        </w:rPr>
      </w:pPr>
    </w:p>
    <w:p>
      <w:pPr>
        <w:ind w:firstLine="464"/>
        <w:spacing w:after="0" w:line="284" w:lineRule="auto"/>
        <w:tabs>
          <w:tab w:leader="none" w:pos="711" w:val="left"/>
        </w:tabs>
        <w:numPr>
          <w:ilvl w:val="1"/>
          <w:numId w:val="29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“Continuous Service” </w:t>
      </w:r>
      <w:r>
        <w:rPr>
          <w:rFonts w:ascii="Arial" w:cs="Arial" w:eastAsia="Arial" w:hAnsi="Arial"/>
          <w:sz w:val="16"/>
          <w:szCs w:val="16"/>
          <w:color w:val="auto"/>
        </w:rPr>
        <w:t>means that the Participant’s service with the Company or an Affiliate, whether as an Employee, Director or Consultant,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w:t>
      </w:r>
    </w:p>
    <w:p>
      <w:pPr>
        <w:spacing w:after="0" w:line="1" w:lineRule="exact"/>
        <w:rPr>
          <w:rFonts w:ascii="Arial" w:cs="Arial" w:eastAsia="Arial" w:hAnsi="Arial"/>
          <w:sz w:val="16"/>
          <w:szCs w:val="16"/>
          <w:b w:val="1"/>
          <w:bCs w:val="1"/>
          <w:color w:val="auto"/>
        </w:rPr>
      </w:pPr>
    </w:p>
    <w:p>
      <w:pPr>
        <w:ind w:right="360" w:firstLine="8"/>
        <w:spacing w:after="0" w:line="261" w:lineRule="auto"/>
        <w:tabs>
          <w:tab w:leader="none" w:pos="21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leave of absence approved by the Board or chief executive officer, including sick leave, military leave or any other personal leave, or (ii) transfers between the Company, an Affiliate, or their successors. Notwithstanding the foregoing, a leave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3" w:right="259" w:bottom="1440" w:gutter="0" w:footer="0" w:header="0"/>
        </w:sectPr>
      </w:pPr>
    </w:p>
    <w:bookmarkStart w:id="318" w:name="page319"/>
    <w:bookmarkEnd w:id="318"/>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64" w:lineRule="exact"/>
        <w:rPr>
          <w:sz w:val="20"/>
          <w:szCs w:val="20"/>
          <w:color w:val="auto"/>
        </w:rPr>
      </w:pPr>
    </w:p>
    <w:p>
      <w:pPr>
        <w:ind w:left="720" w:hanging="256"/>
        <w:spacing w:after="0"/>
        <w:tabs>
          <w:tab w:leader="none" w:pos="720" w:val="left"/>
        </w:tabs>
        <w:numPr>
          <w:ilvl w:val="0"/>
          <w:numId w:val="29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“Corporate Transaction” </w:t>
      </w:r>
      <w:r>
        <w:rPr>
          <w:rFonts w:ascii="Arial" w:cs="Arial" w:eastAsia="Arial" w:hAnsi="Arial"/>
          <w:sz w:val="16"/>
          <w:szCs w:val="16"/>
          <w:color w:val="auto"/>
        </w:rPr>
        <w:t>means the consummation,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02" w:lineRule="exact"/>
        <w:rPr>
          <w:rFonts w:ascii="Arial" w:cs="Arial" w:eastAsia="Arial" w:hAnsi="Arial"/>
          <w:sz w:val="16"/>
          <w:szCs w:val="16"/>
          <w:b w:val="1"/>
          <w:bCs w:val="1"/>
          <w:color w:val="auto"/>
        </w:rPr>
      </w:pPr>
    </w:p>
    <w:p>
      <w:pPr>
        <w:ind w:right="640" w:firstLine="921"/>
        <w:spacing w:after="0" w:line="277" w:lineRule="auto"/>
        <w:tabs>
          <w:tab w:leader="none" w:pos="1128" w:val="left"/>
        </w:tabs>
        <w:numPr>
          <w:ilvl w:val="1"/>
          <w:numId w:val="299"/>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1"/>
          <w:numId w:val="299"/>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117" w:lineRule="exact"/>
        <w:rPr>
          <w:rFonts w:ascii="Arial" w:cs="Arial" w:eastAsia="Arial" w:hAnsi="Arial"/>
          <w:sz w:val="18"/>
          <w:szCs w:val="18"/>
          <w:b w:val="1"/>
          <w:bCs w:val="1"/>
          <w:color w:val="auto"/>
        </w:rPr>
      </w:pPr>
    </w:p>
    <w:p>
      <w:pPr>
        <w:ind w:left="1240" w:hanging="319"/>
        <w:spacing w:after="0"/>
        <w:tabs>
          <w:tab w:leader="none" w:pos="1240" w:val="left"/>
        </w:tabs>
        <w:numPr>
          <w:ilvl w:val="1"/>
          <w:numId w:val="299"/>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17" w:lineRule="exact"/>
        <w:rPr>
          <w:rFonts w:ascii="Arial" w:cs="Arial" w:eastAsia="Arial" w:hAnsi="Arial"/>
          <w:sz w:val="18"/>
          <w:szCs w:val="18"/>
          <w:b w:val="1"/>
          <w:bCs w:val="1"/>
          <w:color w:val="auto"/>
        </w:rPr>
      </w:pPr>
    </w:p>
    <w:p>
      <w:pPr>
        <w:ind w:right="240" w:firstLine="921"/>
        <w:spacing w:after="0" w:line="264" w:lineRule="auto"/>
        <w:tabs>
          <w:tab w:leader="none" w:pos="1218" w:val="left"/>
        </w:tabs>
        <w:numPr>
          <w:ilvl w:val="1"/>
          <w:numId w:val="299"/>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If required for compliance with Section 409A of the Code, in no event will a Corporate Transaction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w:t>
      </w:r>
    </w:p>
    <w:p>
      <w:pPr>
        <w:spacing w:after="0" w:line="57" w:lineRule="exact"/>
        <w:rPr>
          <w:sz w:val="20"/>
          <w:szCs w:val="20"/>
          <w:color w:val="auto"/>
        </w:rPr>
      </w:pPr>
    </w:p>
    <w:p>
      <w:pPr>
        <w:ind w:left="720" w:hanging="256"/>
        <w:spacing w:after="0"/>
        <w:tabs>
          <w:tab w:leader="none" w:pos="72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“Director” </w:t>
      </w:r>
      <w:r>
        <w:rPr>
          <w:rFonts w:ascii="Arial" w:cs="Arial" w:eastAsia="Arial" w:hAnsi="Arial"/>
          <w:sz w:val="18"/>
          <w:szCs w:val="18"/>
          <w:color w:val="auto"/>
        </w:rPr>
        <w:t>means a member of the Board.</w:t>
      </w:r>
    </w:p>
    <w:p>
      <w:pPr>
        <w:spacing w:after="0" w:line="117" w:lineRule="exact"/>
        <w:rPr>
          <w:rFonts w:ascii="Arial" w:cs="Arial" w:eastAsia="Arial" w:hAnsi="Arial"/>
          <w:sz w:val="18"/>
          <w:szCs w:val="18"/>
          <w:b w:val="1"/>
          <w:bCs w:val="1"/>
          <w:color w:val="auto"/>
        </w:rPr>
      </w:pPr>
    </w:p>
    <w:p>
      <w:pPr>
        <w:ind w:firstLine="464"/>
        <w:spacing w:after="0" w:line="259" w:lineRule="auto"/>
        <w:tabs>
          <w:tab w:leader="none" w:pos="701"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“Disability” </w:t>
      </w:r>
      <w:r>
        <w:rPr>
          <w:rFonts w:ascii="Arial" w:cs="Arial" w:eastAsia="Arial" w:hAnsi="Arial"/>
          <w:sz w:val="18"/>
          <w:szCs w:val="18"/>
          <w:color w:val="auto"/>
        </w:rPr>
        <w:t>means, with respect to a Participant, the inability of such Participant to engage in any substantial gainful activity by reason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78" w:lineRule="exact"/>
        <w:rPr>
          <w:rFonts w:ascii="Arial" w:cs="Arial" w:eastAsia="Arial" w:hAnsi="Arial"/>
          <w:sz w:val="18"/>
          <w:szCs w:val="18"/>
          <w:b w:val="1"/>
          <w:bCs w:val="1"/>
          <w:color w:val="auto"/>
        </w:rPr>
      </w:pPr>
    </w:p>
    <w:p>
      <w:pPr>
        <w:ind w:left="700" w:hanging="236"/>
        <w:spacing w:after="0"/>
        <w:tabs>
          <w:tab w:leader="none" w:pos="70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means the IPO Date.</w:t>
      </w:r>
    </w:p>
    <w:p>
      <w:pPr>
        <w:spacing w:after="0" w:line="117" w:lineRule="exact"/>
        <w:rPr>
          <w:rFonts w:ascii="Arial" w:cs="Arial" w:eastAsia="Arial" w:hAnsi="Arial"/>
          <w:sz w:val="18"/>
          <w:szCs w:val="18"/>
          <w:b w:val="1"/>
          <w:bCs w:val="1"/>
          <w:color w:val="auto"/>
        </w:rPr>
      </w:pPr>
    </w:p>
    <w:p>
      <w:pPr>
        <w:ind w:right="520" w:firstLine="464"/>
        <w:spacing w:after="0" w:line="277" w:lineRule="auto"/>
        <w:tabs>
          <w:tab w:leader="none" w:pos="681"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 any person employed by the Company or an Affiliate. However, service solely as a Director, or payment of a fee for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will not cause a Director to be considered an “Employee” for purposes of the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19" w:name="page320"/>
    <w:bookmarkEnd w:id="319"/>
    <w:p>
      <w:pPr>
        <w:ind w:left="640" w:hanging="256"/>
        <w:spacing w:after="0"/>
        <w:tabs>
          <w:tab w:leader="none" w:pos="64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“Entity” </w:t>
      </w:r>
      <w:r>
        <w:rPr>
          <w:rFonts w:ascii="Arial" w:cs="Arial" w:eastAsia="Arial" w:hAnsi="Arial"/>
          <w:sz w:val="18"/>
          <w:szCs w:val="18"/>
          <w:color w:val="auto"/>
        </w:rPr>
        <w:t>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640" w:hanging="256"/>
        <w:spacing w:after="0"/>
        <w:tabs>
          <w:tab w:leader="none" w:pos="640"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“Exchange Act” </w:t>
      </w:r>
      <w:r>
        <w:rPr>
          <w:rFonts w:ascii="Arial" w:cs="Arial" w:eastAsia="Arial" w:hAnsi="Arial"/>
          <w:sz w:val="17"/>
          <w:szCs w:val="17"/>
          <w:color w:val="auto"/>
        </w:rPr>
        <w:t>means the U.S. Securities Exchange Act of 1934, as amended, and the rules and regulations promulgated thereunder.</w:t>
      </w:r>
    </w:p>
    <w:p>
      <w:pPr>
        <w:spacing w:after="0" w:line="128" w:lineRule="exact"/>
        <w:rPr>
          <w:rFonts w:ascii="Arial" w:cs="Arial" w:eastAsia="Arial" w:hAnsi="Arial"/>
          <w:sz w:val="17"/>
          <w:szCs w:val="17"/>
          <w:b w:val="1"/>
          <w:bCs w:val="1"/>
          <w:color w:val="auto"/>
        </w:rPr>
      </w:pPr>
    </w:p>
    <w:p>
      <w:pPr>
        <w:ind w:left="-80" w:right="80" w:firstLine="464"/>
        <w:spacing w:after="0" w:line="291" w:lineRule="auto"/>
        <w:tabs>
          <w:tab w:leader="none" w:pos="671"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“Exchange Act Person” </w:t>
      </w:r>
      <w:r>
        <w:rPr>
          <w:rFonts w:ascii="Arial" w:cs="Arial" w:eastAsia="Arial" w:hAnsi="Arial"/>
          <w:sz w:val="16"/>
          <w:szCs w:val="16"/>
          <w:color w:val="auto"/>
        </w:rPr>
        <w:t>means any natural person, Entity or “group” (within the meaning of Section 13(d) or 14(d) of the Exchange Act), except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59" w:lineRule="exact"/>
        <w:rPr>
          <w:rFonts w:ascii="Arial" w:cs="Arial" w:eastAsia="Arial" w:hAnsi="Arial"/>
          <w:sz w:val="16"/>
          <w:szCs w:val="16"/>
          <w:b w:val="1"/>
          <w:bCs w:val="1"/>
          <w:color w:val="auto"/>
        </w:rPr>
      </w:pPr>
    </w:p>
    <w:p>
      <w:pPr>
        <w:ind w:left="640" w:hanging="256"/>
        <w:spacing w:after="0"/>
        <w:tabs>
          <w:tab w:leader="none" w:pos="64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“Fair Market Value” </w:t>
      </w:r>
      <w:r>
        <w:rPr>
          <w:rFonts w:ascii="Arial" w:cs="Arial" w:eastAsia="Arial" w:hAnsi="Arial"/>
          <w:sz w:val="18"/>
          <w:szCs w:val="18"/>
          <w:color w:val="auto"/>
        </w:rPr>
        <w:t>means, as of any date, the value of the Common Stock determined as follows:</w:t>
      </w:r>
    </w:p>
    <w:p>
      <w:pPr>
        <w:spacing w:after="0" w:line="117" w:lineRule="exact"/>
        <w:rPr>
          <w:rFonts w:ascii="Arial" w:cs="Arial" w:eastAsia="Arial" w:hAnsi="Arial"/>
          <w:sz w:val="18"/>
          <w:szCs w:val="18"/>
          <w:b w:val="1"/>
          <w:bCs w:val="1"/>
          <w:color w:val="auto"/>
        </w:rPr>
      </w:pPr>
    </w:p>
    <w:p>
      <w:pPr>
        <w:ind w:left="-80" w:firstLine="921"/>
        <w:spacing w:after="0" w:line="312" w:lineRule="auto"/>
        <w:tabs>
          <w:tab w:leader="none" w:pos="1048" w:val="left"/>
        </w:tabs>
        <w:numPr>
          <w:ilvl w:val="1"/>
          <w:numId w:val="301"/>
        </w:numPr>
        <w:rPr>
          <w:rFonts w:ascii="Arial" w:cs="Arial" w:eastAsia="Arial" w:hAnsi="Arial"/>
          <w:sz w:val="16"/>
          <w:szCs w:val="16"/>
          <w:b w:val="1"/>
          <w:bCs w:val="1"/>
          <w:color w:val="auto"/>
        </w:rPr>
      </w:pPr>
      <w:r>
        <w:rPr>
          <w:rFonts w:ascii="Arial" w:cs="Arial" w:eastAsia="Arial" w:hAnsi="Arial"/>
          <w:sz w:val="16"/>
          <w:szCs w:val="16"/>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38" w:lineRule="exact"/>
        <w:rPr>
          <w:rFonts w:ascii="Arial" w:cs="Arial" w:eastAsia="Arial" w:hAnsi="Arial"/>
          <w:sz w:val="16"/>
          <w:szCs w:val="16"/>
          <w:b w:val="1"/>
          <w:bCs w:val="1"/>
          <w:color w:val="auto"/>
        </w:rPr>
      </w:pPr>
    </w:p>
    <w:p>
      <w:pPr>
        <w:ind w:left="-80" w:right="140" w:firstLine="921"/>
        <w:spacing w:after="0" w:line="277" w:lineRule="auto"/>
        <w:tabs>
          <w:tab w:leader="none" w:pos="1098"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62" w:lineRule="exact"/>
        <w:rPr>
          <w:rFonts w:ascii="Arial" w:cs="Arial" w:eastAsia="Arial" w:hAnsi="Arial"/>
          <w:sz w:val="18"/>
          <w:szCs w:val="18"/>
          <w:b w:val="1"/>
          <w:bCs w:val="1"/>
          <w:color w:val="auto"/>
        </w:rPr>
      </w:pPr>
    </w:p>
    <w:p>
      <w:pPr>
        <w:ind w:left="-80" w:firstLine="921"/>
        <w:spacing w:after="0" w:line="277" w:lineRule="auto"/>
        <w:tabs>
          <w:tab w:leader="none" w:pos="1148"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Sections 409A and 422 of the Code.</w:t>
      </w:r>
    </w:p>
    <w:p>
      <w:pPr>
        <w:spacing w:after="0" w:line="62" w:lineRule="exact"/>
        <w:rPr>
          <w:rFonts w:ascii="Arial" w:cs="Arial" w:eastAsia="Arial" w:hAnsi="Arial"/>
          <w:sz w:val="18"/>
          <w:szCs w:val="18"/>
          <w:b w:val="1"/>
          <w:bCs w:val="1"/>
          <w:color w:val="auto"/>
        </w:rPr>
      </w:pPr>
    </w:p>
    <w:p>
      <w:pPr>
        <w:ind w:left="-80" w:right="320" w:firstLine="464"/>
        <w:spacing w:after="0" w:line="277" w:lineRule="auto"/>
        <w:tabs>
          <w:tab w:leader="none" w:pos="631"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“Incentive Stock Option” </w:t>
      </w:r>
      <w:r>
        <w:rPr>
          <w:rFonts w:ascii="Arial" w:cs="Arial" w:eastAsia="Arial" w:hAnsi="Arial"/>
          <w:sz w:val="18"/>
          <w:szCs w:val="18"/>
          <w:color w:val="auto"/>
        </w:rPr>
        <w:t>means an option granted pursuant to Section 5 of the Plan that is intended to be, and qualifies as, an “incentive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within the meaning of Section 422 of the Code.</w:t>
      </w:r>
    </w:p>
    <w:p>
      <w:pPr>
        <w:spacing w:after="0" w:line="62" w:lineRule="exact"/>
        <w:rPr>
          <w:rFonts w:ascii="Arial" w:cs="Arial" w:eastAsia="Arial" w:hAnsi="Arial"/>
          <w:sz w:val="18"/>
          <w:szCs w:val="18"/>
          <w:b w:val="1"/>
          <w:bCs w:val="1"/>
          <w:color w:val="auto"/>
        </w:rPr>
      </w:pPr>
    </w:p>
    <w:p>
      <w:pPr>
        <w:ind w:left="-80" w:right="40" w:firstLine="464"/>
        <w:spacing w:after="0" w:line="277" w:lineRule="auto"/>
        <w:tabs>
          <w:tab w:leader="none" w:pos="621"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“IPO Date” </w:t>
      </w:r>
      <w:r>
        <w:rPr>
          <w:rFonts w:ascii="Arial" w:cs="Arial" w:eastAsia="Arial" w:hAnsi="Arial"/>
          <w:sz w:val="18"/>
          <w:szCs w:val="18"/>
          <w:color w:val="auto"/>
        </w:rPr>
        <w:t>means the date of the underwriting agreement between the Company and the underwriter(s) managing the initial public offering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pursuant to which the Common Stock is priced for the initial public offering.</w:t>
      </w:r>
    </w:p>
    <w:p>
      <w:pPr>
        <w:spacing w:after="0" w:line="62" w:lineRule="exact"/>
        <w:rPr>
          <w:sz w:val="20"/>
          <w:szCs w:val="20"/>
          <w:color w:val="auto"/>
        </w:rPr>
      </w:pPr>
    </w:p>
    <w:p>
      <w:pPr>
        <w:ind w:left="-80" w:right="80" w:firstLine="464"/>
        <w:spacing w:after="0" w:line="264" w:lineRule="auto"/>
        <w:tabs>
          <w:tab w:leader="none" w:pos="721"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“Non-Employee Director” </w:t>
      </w:r>
      <w:r>
        <w:rPr>
          <w:rFonts w:ascii="Arial" w:cs="Arial" w:eastAsia="Arial" w:hAnsi="Arial"/>
          <w:sz w:val="18"/>
          <w:szCs w:val="18"/>
          <w:color w:val="auto"/>
        </w:rPr>
        <w:t>means a Director who either (i) is not a current employee or officer of the Company or an Affiliate, does not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either directly or indirectly, from the Company or an Affiliate for services rendered as a consultant or in any capacity other than as a Director (except for an amount as to which disclosure would not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320" w:top="274" w:right="319" w:bottom="1440" w:gutter="0" w:footer="0" w:header="0"/>
        </w:sectPr>
      </w:pPr>
    </w:p>
    <w:bookmarkStart w:id="320" w:name="page321"/>
    <w:bookmarkEnd w:id="320"/>
    <w:p>
      <w:pPr>
        <w:jc w:val="both"/>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39" w:lineRule="exact"/>
        <w:rPr>
          <w:sz w:val="20"/>
          <w:szCs w:val="20"/>
          <w:color w:val="auto"/>
        </w:rPr>
      </w:pPr>
    </w:p>
    <w:p>
      <w:pPr>
        <w:ind w:left="820" w:hanging="356"/>
        <w:spacing w:after="0"/>
        <w:tabs>
          <w:tab w:leader="none" w:pos="820"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“Nonstatutory Stock Option” </w:t>
      </w:r>
      <w:r>
        <w:rPr>
          <w:rFonts w:ascii="Arial" w:cs="Arial" w:eastAsia="Arial" w:hAnsi="Arial"/>
          <w:sz w:val="16"/>
          <w:szCs w:val="16"/>
          <w:color w:val="auto"/>
        </w:rPr>
        <w:t>means any Option granted pursuant to Section 5 of the Plan that does not qualify as an Incentive Stock Option.</w:t>
      </w:r>
    </w:p>
    <w:p>
      <w:pPr>
        <w:spacing w:after="0" w:line="140" w:lineRule="exact"/>
        <w:rPr>
          <w:rFonts w:ascii="Arial" w:cs="Arial" w:eastAsia="Arial" w:hAnsi="Arial"/>
          <w:sz w:val="16"/>
          <w:szCs w:val="16"/>
          <w:b w:val="1"/>
          <w:bCs w:val="1"/>
          <w:color w:val="auto"/>
        </w:rPr>
      </w:pPr>
    </w:p>
    <w:p>
      <w:pPr>
        <w:ind w:left="780" w:hanging="316"/>
        <w:spacing w:after="0"/>
        <w:tabs>
          <w:tab w:leader="none" w:pos="780" w:val="left"/>
        </w:tabs>
        <w:numPr>
          <w:ilvl w:val="0"/>
          <w:numId w:val="3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“Officer” </w:t>
      </w:r>
      <w:r>
        <w:rPr>
          <w:rFonts w:ascii="Arial" w:cs="Arial" w:eastAsia="Arial" w:hAnsi="Arial"/>
          <w:sz w:val="17"/>
          <w:szCs w:val="17"/>
          <w:color w:val="auto"/>
        </w:rPr>
        <w:t>means a person who is an officer of the Company within the meaning of Section 16 of the Exchange Act.</w:t>
      </w:r>
    </w:p>
    <w:p>
      <w:pPr>
        <w:spacing w:after="0" w:line="128" w:lineRule="exact"/>
        <w:rPr>
          <w:rFonts w:ascii="Arial" w:cs="Arial" w:eastAsia="Arial" w:hAnsi="Arial"/>
          <w:sz w:val="17"/>
          <w:szCs w:val="17"/>
          <w:b w:val="1"/>
          <w:bCs w:val="1"/>
          <w:color w:val="auto"/>
        </w:rPr>
      </w:pPr>
    </w:p>
    <w:p>
      <w:pPr>
        <w:ind w:left="820" w:hanging="356"/>
        <w:spacing w:after="0"/>
        <w:tabs>
          <w:tab w:leader="none" w:pos="820"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“Option” </w:t>
      </w:r>
      <w:r>
        <w:rPr>
          <w:rFonts w:ascii="Arial" w:cs="Arial" w:eastAsia="Arial" w:hAnsi="Arial"/>
          <w:sz w:val="16"/>
          <w:szCs w:val="16"/>
          <w:color w:val="auto"/>
        </w:rPr>
        <w:t>means an Incentive Stock Option or a Nonstatutory Stock Option to purchase shares of Common Stock granted pursuant to the Plan.</w:t>
      </w:r>
    </w:p>
    <w:p>
      <w:pPr>
        <w:spacing w:after="0" w:line="140" w:lineRule="exact"/>
        <w:rPr>
          <w:rFonts w:ascii="Arial" w:cs="Arial" w:eastAsia="Arial" w:hAnsi="Arial"/>
          <w:sz w:val="16"/>
          <w:szCs w:val="16"/>
          <w:b w:val="1"/>
          <w:bCs w:val="1"/>
          <w:color w:val="auto"/>
        </w:rPr>
      </w:pPr>
    </w:p>
    <w:p>
      <w:pPr>
        <w:ind w:right="260" w:firstLine="464"/>
        <w:spacing w:after="0" w:line="308" w:lineRule="auto"/>
        <w:tabs>
          <w:tab w:leader="none" w:pos="781" w:val="left"/>
        </w:tabs>
        <w:numPr>
          <w:ilvl w:val="0"/>
          <w:numId w:val="3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“Option Agreement” </w:t>
      </w:r>
      <w:r>
        <w:rPr>
          <w:rFonts w:ascii="Arial" w:cs="Arial" w:eastAsia="Arial" w:hAnsi="Arial"/>
          <w:sz w:val="17"/>
          <w:szCs w:val="17"/>
          <w:color w:val="auto"/>
        </w:rPr>
        <w:t>means a written agreement between the Company and an Optionholder evidencing the terms and conditions of an Option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 Each Option Agreement will be subject to the terms and conditions of the Plan.</w:t>
      </w:r>
    </w:p>
    <w:p>
      <w:pPr>
        <w:spacing w:after="0" w:line="38" w:lineRule="exact"/>
        <w:rPr>
          <w:rFonts w:ascii="Arial" w:cs="Arial" w:eastAsia="Arial" w:hAnsi="Arial"/>
          <w:sz w:val="17"/>
          <w:szCs w:val="17"/>
          <w:b w:val="1"/>
          <w:bCs w:val="1"/>
          <w:color w:val="auto"/>
        </w:rPr>
      </w:pPr>
    </w:p>
    <w:p>
      <w:pPr>
        <w:ind w:left="740" w:hanging="276"/>
        <w:spacing w:after="0"/>
        <w:tabs>
          <w:tab w:leader="none" w:pos="740"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“Optionholder” </w:t>
      </w:r>
      <w:r>
        <w:rPr>
          <w:rFonts w:ascii="Arial" w:cs="Arial" w:eastAsia="Arial" w:hAnsi="Arial"/>
          <w:sz w:val="16"/>
          <w:szCs w:val="16"/>
          <w:color w:val="auto"/>
        </w:rPr>
        <w:t>means a person to whom an Option is granted pursuant to the Plan or, if applicable, such other person who holds an outstanding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102" w:lineRule="exact"/>
        <w:rPr>
          <w:rFonts w:ascii="Arial" w:cs="Arial" w:eastAsia="Arial" w:hAnsi="Arial"/>
          <w:sz w:val="16"/>
          <w:szCs w:val="16"/>
          <w:b w:val="1"/>
          <w:bCs w:val="1"/>
          <w:color w:val="auto"/>
        </w:rPr>
      </w:pPr>
    </w:p>
    <w:p>
      <w:pPr>
        <w:ind w:right="280" w:firstLine="464"/>
        <w:spacing w:after="0" w:line="308" w:lineRule="auto"/>
        <w:tabs>
          <w:tab w:leader="none" w:pos="801" w:val="left"/>
        </w:tabs>
        <w:numPr>
          <w:ilvl w:val="0"/>
          <w:numId w:val="3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“Other Stock Award” </w:t>
      </w:r>
      <w:r>
        <w:rPr>
          <w:rFonts w:ascii="Arial" w:cs="Arial" w:eastAsia="Arial" w:hAnsi="Arial"/>
          <w:sz w:val="17"/>
          <w:szCs w:val="17"/>
          <w:color w:val="auto"/>
        </w:rPr>
        <w:t>means an award based in whole or in part by reference to the Common Stock which is granted pursuant to the terms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conditions of Section 6(d).</w:t>
      </w:r>
    </w:p>
    <w:p>
      <w:pPr>
        <w:spacing w:after="0" w:line="38" w:lineRule="exact"/>
        <w:rPr>
          <w:rFonts w:ascii="Arial" w:cs="Arial" w:eastAsia="Arial" w:hAnsi="Arial"/>
          <w:sz w:val="17"/>
          <w:szCs w:val="17"/>
          <w:b w:val="1"/>
          <w:bCs w:val="1"/>
          <w:color w:val="auto"/>
        </w:rPr>
      </w:pPr>
    </w:p>
    <w:p>
      <w:pPr>
        <w:ind w:right="140" w:firstLine="464"/>
        <w:spacing w:after="0" w:line="308" w:lineRule="auto"/>
        <w:tabs>
          <w:tab w:leader="none" w:pos="821" w:val="left"/>
        </w:tabs>
        <w:numPr>
          <w:ilvl w:val="0"/>
          <w:numId w:val="3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“Other Stock Award Agreement” </w:t>
      </w:r>
      <w:r>
        <w:rPr>
          <w:rFonts w:ascii="Arial" w:cs="Arial" w:eastAsia="Arial" w:hAnsi="Arial"/>
          <w:sz w:val="17"/>
          <w:szCs w:val="17"/>
          <w:color w:val="auto"/>
        </w:rPr>
        <w:t>means a written agreement between the Company and a holder of an Other Stock Award evidencing the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conditions of an Other Stock Award grant. Each Other Stock Award Agreement will be subject to the terms and conditions of the Plan.</w:t>
      </w:r>
    </w:p>
    <w:p>
      <w:pPr>
        <w:spacing w:after="0" w:line="38" w:lineRule="exact"/>
        <w:rPr>
          <w:rFonts w:ascii="Arial" w:cs="Arial" w:eastAsia="Arial" w:hAnsi="Arial"/>
          <w:sz w:val="17"/>
          <w:szCs w:val="17"/>
          <w:b w:val="1"/>
          <w:bCs w:val="1"/>
          <w:color w:val="auto"/>
        </w:rPr>
      </w:pPr>
    </w:p>
    <w:p>
      <w:pPr>
        <w:ind w:firstLine="464"/>
        <w:spacing w:after="0" w:line="286" w:lineRule="auto"/>
        <w:tabs>
          <w:tab w:leader="none" w:pos="721" w:val="left"/>
        </w:tabs>
        <w:numPr>
          <w:ilvl w:val="0"/>
          <w:numId w:val="3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“Own,” “Owned,” “Owner,” “Ownership” </w:t>
      </w:r>
      <w:r>
        <w:rPr>
          <w:rFonts w:ascii="Arial" w:cs="Arial" w:eastAsia="Arial" w:hAnsi="Arial"/>
          <w:sz w:val="17"/>
          <w:szCs w:val="17"/>
          <w:color w:val="auto"/>
        </w:rPr>
        <w:t>means a person or Entity will be deemed to “Own,” to have “Owned,” to be the “Owner” of, or to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7" w:lineRule="exact"/>
        <w:rPr>
          <w:rFonts w:ascii="Arial" w:cs="Arial" w:eastAsia="Arial" w:hAnsi="Arial"/>
          <w:sz w:val="17"/>
          <w:szCs w:val="17"/>
          <w:b w:val="1"/>
          <w:bCs w:val="1"/>
          <w:color w:val="auto"/>
        </w:rPr>
      </w:pPr>
    </w:p>
    <w:p>
      <w:pPr>
        <w:ind w:right="120" w:firstLine="464"/>
        <w:spacing w:after="0" w:line="259" w:lineRule="auto"/>
        <w:tabs>
          <w:tab w:leader="none" w:pos="741"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“Parent” </w:t>
      </w:r>
      <w:r>
        <w:rPr>
          <w:rFonts w:ascii="Arial" w:cs="Arial" w:eastAsia="Arial" w:hAnsi="Arial"/>
          <w:sz w:val="18"/>
          <w:szCs w:val="18"/>
          <w:color w:val="auto"/>
        </w:rPr>
        <w:t>means any corporation (other than the Company) in an unbroken chain of corporations ending with the Company, if each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74" w:lineRule="exact"/>
        <w:rPr>
          <w:rFonts w:ascii="Arial" w:cs="Arial" w:eastAsia="Arial" w:hAnsi="Arial"/>
          <w:sz w:val="18"/>
          <w:szCs w:val="18"/>
          <w:b w:val="1"/>
          <w:bCs w:val="1"/>
          <w:color w:val="auto"/>
        </w:rPr>
      </w:pPr>
    </w:p>
    <w:p>
      <w:pPr>
        <w:ind w:right="260" w:firstLine="464"/>
        <w:spacing w:after="0" w:line="282" w:lineRule="auto"/>
        <w:tabs>
          <w:tab w:leader="none" w:pos="821"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 person to whom an Award is granted pursuant to the Plan or, if applicable, such other person who holds an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w:t>
      </w:r>
    </w:p>
    <w:p>
      <w:pPr>
        <w:spacing w:after="0" w:line="57" w:lineRule="exact"/>
        <w:rPr>
          <w:rFonts w:ascii="Arial" w:cs="Arial" w:eastAsia="Arial" w:hAnsi="Arial"/>
          <w:sz w:val="18"/>
          <w:szCs w:val="18"/>
          <w:b w:val="1"/>
          <w:bCs w:val="1"/>
          <w:color w:val="auto"/>
        </w:rPr>
      </w:pPr>
    </w:p>
    <w:p>
      <w:pPr>
        <w:ind w:left="720" w:hanging="256"/>
        <w:spacing w:after="0"/>
        <w:tabs>
          <w:tab w:leader="none" w:pos="72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“Performance Cash Award” </w:t>
      </w:r>
      <w:r>
        <w:rPr>
          <w:rFonts w:ascii="Arial" w:cs="Arial" w:eastAsia="Arial" w:hAnsi="Arial"/>
          <w:sz w:val="18"/>
          <w:szCs w:val="18"/>
          <w:color w:val="auto"/>
        </w:rPr>
        <w:t>means an award of cash granted pursuant to the terms and conditions of Section 6(c)(ii).</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321" w:name="page322"/>
    <w:bookmarkEnd w:id="321"/>
    <w:p>
      <w:pPr>
        <w:ind w:left="-8" w:right="20" w:firstLine="464"/>
        <w:spacing w:after="0" w:line="288" w:lineRule="auto"/>
        <w:tabs>
          <w:tab w:leader="none" w:pos="913" w:val="left"/>
        </w:tabs>
        <w:numPr>
          <w:ilvl w:val="1"/>
          <w:numId w:val="30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“Performance Criteria” </w:t>
      </w:r>
      <w:r>
        <w:rPr>
          <w:rFonts w:ascii="Arial" w:cs="Arial" w:eastAsia="Arial" w:hAnsi="Arial"/>
          <w:sz w:val="16"/>
          <w:szCs w:val="16"/>
          <w:color w:val="auto"/>
        </w:rPr>
        <w:t>means the one or more criteria that the Board or Committee (as applicable) will select for purposes of establishing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Goals for a Performance Period. The Performance Criteria that will be used to establish such Performance Goals may be based on any one of, or combination of, the following as determined by the Board or Committee (as applicable): (1) earnings (including earnings per share and net earnings);</w:t>
      </w:r>
    </w:p>
    <w:p>
      <w:pPr>
        <w:ind w:left="-8" w:right="180" w:firstLine="8"/>
        <w:spacing w:after="0" w:line="281" w:lineRule="auto"/>
        <w:tabs>
          <w:tab w:leader="none" w:pos="247" w:val="left"/>
        </w:tabs>
        <w:numPr>
          <w:ilvl w:val="0"/>
          <w:numId w:val="305"/>
        </w:numPr>
        <w:rPr>
          <w:rFonts w:ascii="Arial" w:cs="Arial" w:eastAsia="Arial" w:hAnsi="Arial"/>
          <w:sz w:val="16"/>
          <w:szCs w:val="16"/>
          <w:color w:val="auto"/>
        </w:rPr>
      </w:pPr>
      <w:r>
        <w:rPr>
          <w:rFonts w:ascii="Arial" w:cs="Arial" w:eastAsia="Arial" w:hAnsi="Arial"/>
          <w:sz w:val="16"/>
          <w:szCs w:val="16"/>
          <w:color w:val="auto"/>
        </w:rPr>
        <w:t>earnings before interest, taxes and depreciation; (3) earnings before interest, taxes, depreciation and amortization; (4) total stockholder return; (5) return on equity or average stockholder’s equity; (6) return on assets, investment, or capital employed; (7) stock price; (8) margin (including gross margin);</w:t>
      </w:r>
    </w:p>
    <w:p>
      <w:pPr>
        <w:spacing w:after="0" w:line="1" w:lineRule="exact"/>
        <w:rPr>
          <w:rFonts w:ascii="Arial" w:cs="Arial" w:eastAsia="Arial" w:hAnsi="Arial"/>
          <w:sz w:val="16"/>
          <w:szCs w:val="16"/>
          <w:color w:val="auto"/>
        </w:rPr>
      </w:pPr>
    </w:p>
    <w:p>
      <w:pPr>
        <w:ind w:left="-8" w:right="140" w:firstLine="8"/>
        <w:spacing w:after="0" w:line="281" w:lineRule="auto"/>
        <w:tabs>
          <w:tab w:leader="none" w:pos="247" w:val="left"/>
        </w:tabs>
        <w:numPr>
          <w:ilvl w:val="0"/>
          <w:numId w:val="306"/>
        </w:numPr>
        <w:rPr>
          <w:rFonts w:ascii="Arial" w:cs="Arial" w:eastAsia="Arial" w:hAnsi="Arial"/>
          <w:sz w:val="16"/>
          <w:szCs w:val="16"/>
          <w:color w:val="auto"/>
        </w:rPr>
      </w:pPr>
      <w:r>
        <w:rPr>
          <w:rFonts w:ascii="Arial" w:cs="Arial" w:eastAsia="Arial" w:hAnsi="Arial"/>
          <w:sz w:val="16"/>
          <w:szCs w:val="16"/>
          <w:color w:val="auto"/>
        </w:rPr>
        <w:t>income (before or after taxes); (10) operating income; (11) operating income after taxes; (12) pre-tax profit; (13) operating cash flow; (14) sales or revenue targets; (15) increases in revenue or product revenue; (16) expenses and cost reduction goals; (17) improvement in or attainment of working capital levels; (18) economic value added (or an equivalent metric); (19) market share; (20) cash flow; (21) cash flow per share; (22) share price performance;</w:t>
      </w:r>
    </w:p>
    <w:p>
      <w:pPr>
        <w:spacing w:after="0" w:line="2" w:lineRule="exact"/>
        <w:rPr>
          <w:rFonts w:ascii="Arial" w:cs="Arial" w:eastAsia="Arial" w:hAnsi="Arial"/>
          <w:sz w:val="16"/>
          <w:szCs w:val="16"/>
          <w:color w:val="auto"/>
        </w:rPr>
      </w:pPr>
    </w:p>
    <w:p>
      <w:pPr>
        <w:ind w:left="-8" w:right="660" w:firstLine="8"/>
        <w:spacing w:after="0" w:line="281" w:lineRule="auto"/>
        <w:tabs>
          <w:tab w:leader="none" w:pos="337" w:val="left"/>
        </w:tabs>
        <w:numPr>
          <w:ilvl w:val="0"/>
          <w:numId w:val="307"/>
        </w:numPr>
        <w:rPr>
          <w:rFonts w:ascii="Arial" w:cs="Arial" w:eastAsia="Arial" w:hAnsi="Arial"/>
          <w:sz w:val="16"/>
          <w:szCs w:val="16"/>
          <w:color w:val="auto"/>
        </w:rPr>
      </w:pPr>
      <w:r>
        <w:rPr>
          <w:rFonts w:ascii="Arial" w:cs="Arial" w:eastAsia="Arial" w:hAnsi="Arial"/>
          <w:sz w:val="16"/>
          <w:szCs w:val="16"/>
          <w:color w:val="auto"/>
        </w:rPr>
        <w:t>debt reduction; (24) implementation or completion of projects or processes; (25) subscriber satisfaction; (26) stockholders’ equity; (27) capital expenditures; (28) debt levels; (29) operating profit or net operating profit; (30) workforce diversity; (31) growth of net income or operating income;</w:t>
      </w:r>
    </w:p>
    <w:p>
      <w:pPr>
        <w:spacing w:after="0" w:line="1" w:lineRule="exact"/>
        <w:rPr>
          <w:rFonts w:ascii="Arial" w:cs="Arial" w:eastAsia="Arial" w:hAnsi="Arial"/>
          <w:sz w:val="16"/>
          <w:szCs w:val="16"/>
          <w:color w:val="auto"/>
        </w:rPr>
      </w:pPr>
    </w:p>
    <w:p>
      <w:pPr>
        <w:ind w:left="-8" w:right="880" w:firstLine="8"/>
        <w:spacing w:after="0" w:line="261" w:lineRule="auto"/>
        <w:tabs>
          <w:tab w:leader="none" w:pos="33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billings; (33) the number of subscribers, including but not limited to unique subscribers; (34) employee retention; and (35) other measures of performance selected by the Board.</w:t>
      </w:r>
    </w:p>
    <w:p>
      <w:pPr>
        <w:spacing w:after="0" w:line="75" w:lineRule="exact"/>
        <w:rPr>
          <w:rFonts w:ascii="Arial" w:cs="Arial" w:eastAsia="Arial" w:hAnsi="Arial"/>
          <w:sz w:val="18"/>
          <w:szCs w:val="18"/>
          <w:color w:val="auto"/>
        </w:rPr>
      </w:pPr>
    </w:p>
    <w:p>
      <w:pPr>
        <w:ind w:left="-8" w:firstLine="464"/>
        <w:spacing w:after="0" w:line="285" w:lineRule="auto"/>
        <w:tabs>
          <w:tab w:leader="none" w:pos="813" w:val="left"/>
        </w:tabs>
        <w:numPr>
          <w:ilvl w:val="1"/>
          <w:numId w:val="30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“Performance Goals” </w:t>
      </w:r>
      <w:r>
        <w:rPr>
          <w:rFonts w:ascii="Arial" w:cs="Arial" w:eastAsia="Arial" w:hAnsi="Arial"/>
          <w:sz w:val="16"/>
          <w:szCs w:val="16"/>
          <w:color w:val="auto"/>
        </w:rPr>
        <w:t>means, for a Performance Period, the one or more goals established by the Board or Committee (as applicable)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or Committee (as applicable) (i) in the Award Agreement at the time the Award is granted or (ii) in such other document setting forth the Performance Goals at the time the Performance Goals are established, the Board or Committee (as applicable)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or Committee (as applicable) retains the discretion to reduce or eliminate the compensation or economic benefit due upon attainment of Performance Goals and to define the manner of</w:t>
      </w:r>
    </w:p>
    <w:p>
      <w:pPr>
        <w:spacing w:after="0" w:line="1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72"/>
          </w:cols>
          <w:pgMar w:left="248" w:top="274" w:right="279" w:bottom="1440" w:gutter="0" w:footer="0" w:header="0"/>
        </w:sectPr>
      </w:pPr>
    </w:p>
    <w:bookmarkStart w:id="322" w:name="page323"/>
    <w:bookmarkEnd w:id="322"/>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6" w:lineRule="exact"/>
        <w:rPr>
          <w:sz w:val="20"/>
          <w:szCs w:val="20"/>
          <w:color w:val="auto"/>
        </w:rPr>
      </w:pPr>
    </w:p>
    <w:p>
      <w:pPr>
        <w:ind w:firstLine="464"/>
        <w:spacing w:after="0" w:line="286" w:lineRule="auto"/>
        <w:tabs>
          <w:tab w:leader="none" w:pos="801" w:val="left"/>
        </w:tabs>
        <w:numPr>
          <w:ilvl w:val="0"/>
          <w:numId w:val="30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“Performance Period” </w:t>
      </w:r>
      <w:r>
        <w:rPr>
          <w:rFonts w:ascii="Arial" w:cs="Arial" w:eastAsia="Arial" w:hAnsi="Arial"/>
          <w:sz w:val="17"/>
          <w:szCs w:val="17"/>
          <w:color w:val="auto"/>
        </w:rPr>
        <w:t>means the period of time selected by the Board or Committee (as applicable) over which the attainment of one or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Goals will be measured for the purpose of determining a Participant’s right to and the payment of a Stock Award or a Performance Cash Award. Performance Periods may be of varying and overlapping duration, at the sole discretion of the Board or Committee (as applicable).</w:t>
      </w:r>
    </w:p>
    <w:p>
      <w:pPr>
        <w:spacing w:after="0" w:line="57" w:lineRule="exact"/>
        <w:rPr>
          <w:rFonts w:ascii="Arial" w:cs="Arial" w:eastAsia="Arial" w:hAnsi="Arial"/>
          <w:sz w:val="17"/>
          <w:szCs w:val="17"/>
          <w:b w:val="1"/>
          <w:bCs w:val="1"/>
          <w:color w:val="auto"/>
        </w:rPr>
      </w:pPr>
    </w:p>
    <w:p>
      <w:pPr>
        <w:ind w:left="820" w:hanging="356"/>
        <w:spacing w:after="0"/>
        <w:tabs>
          <w:tab w:leader="none" w:pos="82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“Performance Stock Award” </w:t>
      </w:r>
      <w:r>
        <w:rPr>
          <w:rFonts w:ascii="Arial" w:cs="Arial" w:eastAsia="Arial" w:hAnsi="Arial"/>
          <w:sz w:val="18"/>
          <w:szCs w:val="18"/>
          <w:color w:val="auto"/>
        </w:rPr>
        <w:t>means a Stock Award granted under the terms and conditions of Section 6(c)(i).</w:t>
      </w:r>
    </w:p>
    <w:p>
      <w:pPr>
        <w:spacing w:after="0" w:line="117" w:lineRule="exact"/>
        <w:rPr>
          <w:rFonts w:ascii="Arial" w:cs="Arial" w:eastAsia="Arial" w:hAnsi="Arial"/>
          <w:sz w:val="18"/>
          <w:szCs w:val="18"/>
          <w:b w:val="1"/>
          <w:bCs w:val="1"/>
          <w:color w:val="auto"/>
        </w:rPr>
      </w:pPr>
    </w:p>
    <w:p>
      <w:pPr>
        <w:ind w:left="820" w:hanging="356"/>
        <w:spacing w:after="0"/>
        <w:tabs>
          <w:tab w:leader="none" w:pos="82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this Forty Seven, Inc. 2018 Equity Incentive Plan, as it may be amended.</w:t>
      </w:r>
    </w:p>
    <w:p>
      <w:pPr>
        <w:spacing w:after="0" w:line="117" w:lineRule="exact"/>
        <w:rPr>
          <w:rFonts w:ascii="Arial" w:cs="Arial" w:eastAsia="Arial" w:hAnsi="Arial"/>
          <w:sz w:val="18"/>
          <w:szCs w:val="18"/>
          <w:b w:val="1"/>
          <w:bCs w:val="1"/>
          <w:color w:val="auto"/>
        </w:rPr>
      </w:pPr>
    </w:p>
    <w:p>
      <w:pPr>
        <w:ind w:left="780" w:hanging="316"/>
        <w:spacing w:after="0"/>
        <w:tabs>
          <w:tab w:leader="none" w:pos="780"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“Restricted Stock Award” </w:t>
      </w:r>
      <w:r>
        <w:rPr>
          <w:rFonts w:ascii="Arial" w:cs="Arial" w:eastAsia="Arial" w:hAnsi="Arial"/>
          <w:sz w:val="16"/>
          <w:szCs w:val="16"/>
          <w:color w:val="auto"/>
        </w:rPr>
        <w:t>means an award of shares of Common Stock which is granted pursuant to the terms and conditions of Section 6(a).</w:t>
      </w:r>
    </w:p>
    <w:p>
      <w:pPr>
        <w:spacing w:after="0" w:line="140" w:lineRule="exact"/>
        <w:rPr>
          <w:rFonts w:ascii="Arial" w:cs="Arial" w:eastAsia="Arial" w:hAnsi="Arial"/>
          <w:sz w:val="16"/>
          <w:szCs w:val="16"/>
          <w:b w:val="1"/>
          <w:bCs w:val="1"/>
          <w:color w:val="auto"/>
        </w:rPr>
      </w:pPr>
    </w:p>
    <w:p>
      <w:pPr>
        <w:ind w:right="80" w:firstLine="464"/>
        <w:spacing w:after="0" w:line="342" w:lineRule="auto"/>
        <w:tabs>
          <w:tab w:leader="none" w:pos="761"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“Restricted Stock Award Agreement” </w:t>
      </w:r>
      <w:r>
        <w:rPr>
          <w:rFonts w:ascii="Arial" w:cs="Arial" w:eastAsia="Arial" w:hAnsi="Arial"/>
          <w:sz w:val="16"/>
          <w:szCs w:val="16"/>
          <w:color w:val="auto"/>
        </w:rPr>
        <w:t>means a written agreement between the Company and a holder of a Restricted Stock Award evidencing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terms and conditions of a Restricted Stock Award grant. Each Restricted Stock Award Agreement will be subject to the terms and conditions of the Plan.</w:t>
      </w:r>
    </w:p>
    <w:p>
      <w:pPr>
        <w:spacing w:after="0" w:line="15" w:lineRule="exact"/>
        <w:rPr>
          <w:rFonts w:ascii="Arial" w:cs="Arial" w:eastAsia="Arial" w:hAnsi="Arial"/>
          <w:sz w:val="16"/>
          <w:szCs w:val="16"/>
          <w:b w:val="1"/>
          <w:bCs w:val="1"/>
          <w:color w:val="auto"/>
        </w:rPr>
      </w:pPr>
    </w:p>
    <w:p>
      <w:pPr>
        <w:ind w:right="600" w:firstLine="464"/>
        <w:spacing w:after="0" w:line="277" w:lineRule="auto"/>
        <w:tabs>
          <w:tab w:leader="none" w:pos="741"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“Restricted Stock Unit Award” </w:t>
      </w:r>
      <w:r>
        <w:rPr>
          <w:rFonts w:ascii="Arial" w:cs="Arial" w:eastAsia="Arial" w:hAnsi="Arial"/>
          <w:sz w:val="18"/>
          <w:szCs w:val="18"/>
          <w:color w:val="auto"/>
        </w:rPr>
        <w:t>means a right to receive shares of Common Stock which is granted pursuant to the terms and conditions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6(b).</w:t>
      </w:r>
    </w:p>
    <w:p>
      <w:pPr>
        <w:spacing w:after="0" w:line="62" w:lineRule="exact"/>
        <w:rPr>
          <w:rFonts w:ascii="Arial" w:cs="Arial" w:eastAsia="Arial" w:hAnsi="Arial"/>
          <w:sz w:val="18"/>
          <w:szCs w:val="18"/>
          <w:b w:val="1"/>
          <w:bCs w:val="1"/>
          <w:color w:val="auto"/>
        </w:rPr>
      </w:pPr>
    </w:p>
    <w:p>
      <w:pPr>
        <w:ind w:right="180" w:firstLine="464"/>
        <w:spacing w:after="0" w:line="264" w:lineRule="auto"/>
        <w:tabs>
          <w:tab w:leader="none" w:pos="821"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“Restricted Stock Unit Award Agreement” </w:t>
      </w:r>
      <w:r>
        <w:rPr>
          <w:rFonts w:ascii="Arial" w:cs="Arial" w:eastAsia="Arial" w:hAnsi="Arial"/>
          <w:sz w:val="18"/>
          <w:szCs w:val="18"/>
          <w:color w:val="auto"/>
        </w:rPr>
        <w:t>means a written agreement between the Company and a holder of a Restricted Stock Unit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terms and conditions of a Restricted Stock Unit Award grant. Each Restricted Stock Unit Award Agreement will be subject to the terms and conditions of the Plan.</w:t>
      </w:r>
    </w:p>
    <w:p>
      <w:pPr>
        <w:spacing w:after="0" w:line="73" w:lineRule="exact"/>
        <w:rPr>
          <w:rFonts w:ascii="Arial" w:cs="Arial" w:eastAsia="Arial" w:hAnsi="Arial"/>
          <w:sz w:val="18"/>
          <w:szCs w:val="18"/>
          <w:b w:val="1"/>
          <w:bCs w:val="1"/>
          <w:color w:val="auto"/>
        </w:rPr>
      </w:pPr>
    </w:p>
    <w:p>
      <w:pPr>
        <w:ind w:left="800" w:hanging="336"/>
        <w:spacing w:after="0"/>
        <w:tabs>
          <w:tab w:leader="none" w:pos="800" w:val="left"/>
        </w:tabs>
        <w:numPr>
          <w:ilvl w:val="0"/>
          <w:numId w:val="30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“Rule 16b-3” </w:t>
      </w:r>
      <w:r>
        <w:rPr>
          <w:rFonts w:ascii="Arial" w:cs="Arial" w:eastAsia="Arial" w:hAnsi="Arial"/>
          <w:sz w:val="17"/>
          <w:szCs w:val="17"/>
          <w:color w:val="auto"/>
        </w:rPr>
        <w:t>means Rule 16b-3 promulgated under the Exchange Act or any successor to Rule 16b-3, as in effect from time to time.</w:t>
      </w:r>
    </w:p>
    <w:p>
      <w:pPr>
        <w:spacing w:after="0" w:line="128" w:lineRule="exact"/>
        <w:rPr>
          <w:rFonts w:ascii="Arial" w:cs="Arial" w:eastAsia="Arial" w:hAnsi="Arial"/>
          <w:sz w:val="17"/>
          <w:szCs w:val="17"/>
          <w:b w:val="1"/>
          <w:bCs w:val="1"/>
          <w:color w:val="auto"/>
        </w:rPr>
      </w:pPr>
    </w:p>
    <w:p>
      <w:pPr>
        <w:ind w:left="880" w:hanging="416"/>
        <w:spacing w:after="0"/>
        <w:tabs>
          <w:tab w:leader="none" w:pos="88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“Securities Act” </w:t>
      </w:r>
      <w:r>
        <w:rPr>
          <w:rFonts w:ascii="Arial" w:cs="Arial" w:eastAsia="Arial" w:hAnsi="Arial"/>
          <w:sz w:val="18"/>
          <w:szCs w:val="18"/>
          <w:color w:val="auto"/>
        </w:rPr>
        <w:t>means the Securities Act of 1933, as amended.</w:t>
      </w:r>
    </w:p>
    <w:p>
      <w:pPr>
        <w:spacing w:after="0" w:line="117" w:lineRule="exact"/>
        <w:rPr>
          <w:rFonts w:ascii="Arial" w:cs="Arial" w:eastAsia="Arial" w:hAnsi="Arial"/>
          <w:sz w:val="18"/>
          <w:szCs w:val="18"/>
          <w:b w:val="1"/>
          <w:bCs w:val="1"/>
          <w:color w:val="auto"/>
        </w:rPr>
      </w:pPr>
    </w:p>
    <w:p>
      <w:pPr>
        <w:ind w:right="440" w:firstLine="464"/>
        <w:spacing w:after="0" w:line="277" w:lineRule="auto"/>
        <w:tabs>
          <w:tab w:leader="none" w:pos="801"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“Stock Appreciation Right”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“SAR” </w:t>
      </w:r>
      <w:r>
        <w:rPr>
          <w:rFonts w:ascii="Arial" w:cs="Arial" w:eastAsia="Arial" w:hAnsi="Arial"/>
          <w:sz w:val="18"/>
          <w:szCs w:val="18"/>
          <w:color w:val="auto"/>
        </w:rPr>
        <w:t>means a right to receive the appreciation on Common Stock that is granted pursuant to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Section 5.</w:t>
      </w:r>
    </w:p>
    <w:p>
      <w:pPr>
        <w:spacing w:after="0" w:line="62" w:lineRule="exact"/>
        <w:rPr>
          <w:rFonts w:ascii="Arial" w:cs="Arial" w:eastAsia="Arial" w:hAnsi="Arial"/>
          <w:sz w:val="18"/>
          <w:szCs w:val="18"/>
          <w:b w:val="1"/>
          <w:bCs w:val="1"/>
          <w:color w:val="auto"/>
        </w:rPr>
      </w:pPr>
    </w:p>
    <w:p>
      <w:pPr>
        <w:ind w:right="20" w:firstLine="464"/>
        <w:spacing w:after="0" w:line="264" w:lineRule="auto"/>
        <w:tabs>
          <w:tab w:leader="none" w:pos="801"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“Stock Appreciation Right Agreement” </w:t>
      </w:r>
      <w:r>
        <w:rPr>
          <w:rFonts w:ascii="Arial" w:cs="Arial" w:eastAsia="Arial" w:hAnsi="Arial"/>
          <w:sz w:val="18"/>
          <w:szCs w:val="18"/>
          <w:color w:val="auto"/>
        </w:rPr>
        <w:t>means a written agreement between the Company and a holder of a Stock Appreciation Right evidencing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and conditions of a Stock Appreciation Right grant. Each Stock Appreciation Right Agreement will be subject to the terms and conditions of the Plan.</w:t>
      </w:r>
    </w:p>
    <w:p>
      <w:pPr>
        <w:spacing w:after="0" w:line="73" w:lineRule="exact"/>
        <w:rPr>
          <w:rFonts w:ascii="Arial" w:cs="Arial" w:eastAsia="Arial" w:hAnsi="Arial"/>
          <w:sz w:val="18"/>
          <w:szCs w:val="18"/>
          <w:b w:val="1"/>
          <w:bCs w:val="1"/>
          <w:color w:val="auto"/>
        </w:rPr>
      </w:pPr>
    </w:p>
    <w:p>
      <w:pPr>
        <w:ind w:right="340" w:firstLine="464"/>
        <w:spacing w:after="0" w:line="342" w:lineRule="auto"/>
        <w:tabs>
          <w:tab w:leader="none" w:pos="781"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“Stock Award” </w:t>
      </w:r>
      <w:r>
        <w:rPr>
          <w:rFonts w:ascii="Arial" w:cs="Arial" w:eastAsia="Arial" w:hAnsi="Arial"/>
          <w:sz w:val="16"/>
          <w:szCs w:val="16"/>
          <w:color w:val="auto"/>
        </w:rPr>
        <w:t>means any right to receive Common Stock granted under the Plan, including an Incentive Stock Option, a Nonstatutory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a Restricted Stock Award, a Restricted Stock Unit Award, a Stock Appreciation Right, a Performance Stock Award or any Other Stock Award.</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273" w:right="319" w:bottom="1440" w:gutter="0" w:footer="0" w:header="0"/>
        </w:sectPr>
      </w:pPr>
    </w:p>
    <w:bookmarkStart w:id="323" w:name="page324"/>
    <w:bookmarkEnd w:id="323"/>
    <w:p>
      <w:pPr>
        <w:ind w:left="-60" w:right="180" w:firstLine="464"/>
        <w:spacing w:after="0" w:line="277" w:lineRule="auto"/>
        <w:tabs>
          <w:tab w:leader="none" w:pos="831"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 Award Agreement” </w:t>
      </w:r>
      <w:r>
        <w:rPr>
          <w:rFonts w:ascii="Arial" w:cs="Arial" w:eastAsia="Arial" w:hAnsi="Arial"/>
          <w:sz w:val="18"/>
          <w:szCs w:val="18"/>
          <w:color w:val="auto"/>
        </w:rPr>
        <w:t>means a written agreement between the Company and a Participant evidencing the terms and conditions of a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grant. Each Stock Award Agreement will be subject to the terms and conditions of the Plan.</w:t>
      </w:r>
    </w:p>
    <w:p>
      <w:pPr>
        <w:spacing w:after="0" w:line="62" w:lineRule="exact"/>
        <w:rPr>
          <w:rFonts w:ascii="Arial" w:cs="Arial" w:eastAsia="Arial" w:hAnsi="Arial"/>
          <w:sz w:val="18"/>
          <w:szCs w:val="18"/>
          <w:b w:val="1"/>
          <w:bCs w:val="1"/>
          <w:color w:val="auto"/>
        </w:rPr>
      </w:pPr>
    </w:p>
    <w:p>
      <w:pPr>
        <w:ind w:left="-60" w:right="60" w:firstLine="464"/>
        <w:spacing w:after="0" w:line="257" w:lineRule="auto"/>
        <w:tabs>
          <w:tab w:leader="none" w:pos="862"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means, with respect to the Company, (i) any corporation of which more than 50% of the outstanding capital stock having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80" w:lineRule="exact"/>
        <w:rPr>
          <w:rFonts w:ascii="Arial" w:cs="Arial" w:eastAsia="Arial" w:hAnsi="Arial"/>
          <w:sz w:val="18"/>
          <w:szCs w:val="18"/>
          <w:b w:val="1"/>
          <w:bCs w:val="1"/>
          <w:color w:val="auto"/>
        </w:rPr>
      </w:pPr>
    </w:p>
    <w:p>
      <w:pPr>
        <w:ind w:left="-60" w:firstLine="464"/>
        <w:spacing w:after="0" w:line="342" w:lineRule="auto"/>
        <w:tabs>
          <w:tab w:leader="none" w:pos="801" w:val="left"/>
        </w:tabs>
        <w:numPr>
          <w:ilvl w:val="0"/>
          <w:numId w:val="3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“Ten Percent Stockholder” </w:t>
      </w:r>
      <w:r>
        <w:rPr>
          <w:rFonts w:ascii="Arial" w:cs="Arial" w:eastAsia="Arial" w:hAnsi="Arial"/>
          <w:sz w:val="16"/>
          <w:szCs w:val="16"/>
          <w:color w:val="auto"/>
        </w:rPr>
        <w:t>means a person who Owns (or is deemed to Own pursuant to Section 424(d) of the Code) stock possessing more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 of the total combined voting power of all classes of stock of the Company or any Affiliate.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300" w:top="273" w:right="29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FORTY SEVEN,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OTICE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Forty Seven,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2018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grants to Optionholder an option to purchase the number of shares of the Company’s Common Stock set forth below. This option is subject to all of the terms and conditions as set forth in this stock option grant notice (this “</w:t>
      </w:r>
      <w:r>
        <w:rPr>
          <w:rFonts w:ascii="Arial" w:cs="Arial" w:eastAsia="Arial" w:hAnsi="Arial"/>
          <w:sz w:val="16"/>
          <w:szCs w:val="16"/>
          <w:b w:val="1"/>
          <w:bCs w:val="1"/>
          <w:i w:val="1"/>
          <w:iCs w:val="1"/>
          <w:color w:val="auto"/>
        </w:rPr>
        <w:t>Stock Option Grant Notice</w:t>
      </w:r>
      <w:r>
        <w:rPr>
          <w:rFonts w:ascii="Arial" w:cs="Arial" w:eastAsia="Arial" w:hAnsi="Arial"/>
          <w:sz w:val="16"/>
          <w:szCs w:val="16"/>
          <w:color w:val="auto"/>
        </w:rPr>
        <w:t>”), in the Option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the Plan and the Notice of Exercise, all of which are attached hereto and incorporated herein in their entirety. Capitalized terms not explicitly defined herein but defined in the Plan or the Agreement will have the same definitions as in the Plan or the Agreement. If there is any conflict between the terms herein and the Plan, the terms of the Plan will control.</w:t>
      </w:r>
    </w:p>
    <w:p>
      <w:pPr>
        <w:spacing w:after="0" w:line="18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Optionholder:</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-130810</wp:posOffset>
            </wp:positionV>
            <wp:extent cx="24098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-121920</wp:posOffset>
            </wp:positionV>
            <wp:extent cx="24098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-121920</wp:posOffset>
            </wp:positionV>
            <wp:extent cx="24098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-121920</wp:posOffset>
            </wp:positionV>
            <wp:extent cx="24098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-121920</wp:posOffset>
            </wp:positionV>
            <wp:extent cx="240982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22860</wp:posOffset>
            </wp:positionV>
            <wp:extent cx="24098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-121920</wp:posOffset>
            </wp:positionV>
            <wp:extent cx="240982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4200" w:type="dxa"/>
            <w:vAlign w:val="bottom"/>
            <w:gridSpan w:val="3"/>
          </w:tcPr>
          <w:p>
            <w:pPr>
              <w:ind w:left="1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Arial" w:cs="Arial" w:eastAsia="Arial" w:hAnsi="Arial"/>
                <w:sz w:val="15"/>
                <w:szCs w:val="15"/>
                <w:color w:val="auto"/>
              </w:rPr>
              <w:t>1</w:t>
            </w:r>
          </w:p>
        </w:tc>
        <w:tc>
          <w:tcPr>
            <w:tcW w:w="3060" w:type="dxa"/>
            <w:vAlign w:val="bottom"/>
          </w:tcPr>
          <w:p>
            <w:pPr>
              <w:ind w:left="920"/>
              <w:spacing w:after="0" w:line="207" w:lineRule="exact"/>
              <w:rPr>
                <w:sz w:val="20"/>
                <w:szCs w:val="20"/>
                <w:color w:val="auto"/>
              </w:rPr>
            </w:pP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Nonstatutory Stock Option</w:t>
            </w:r>
          </w:p>
        </w:tc>
      </w:tr>
      <w:tr>
        <w:trPr>
          <w:trHeight w:val="304"/>
        </w:trPr>
        <w:tc>
          <w:tcPr>
            <w:tcW w:w="2780" w:type="dxa"/>
            <w:vAlign w:val="bottom"/>
          </w:tcPr>
          <w:p>
            <w:pPr>
              <w:spacing w:after="0"/>
              <w:rPr>
                <w:sz w:val="20"/>
                <w:szCs w:val="20"/>
                <w:color w:val="auto"/>
              </w:rPr>
            </w:pPr>
            <w:r>
              <w:rPr>
                <w:rFonts w:ascii="Arial" w:cs="Arial" w:eastAsia="Arial" w:hAnsi="Arial"/>
                <w:sz w:val="18"/>
                <w:szCs w:val="18"/>
                <w:b w:val="1"/>
                <w:bCs w:val="1"/>
                <w:color w:val="auto"/>
              </w:rPr>
              <w:t>Exercise Schedule:</w:t>
            </w:r>
          </w:p>
        </w:tc>
        <w:tc>
          <w:tcPr>
            <w:tcW w:w="4200" w:type="dxa"/>
            <w:vAlign w:val="bottom"/>
            <w:gridSpan w:val="3"/>
          </w:tcPr>
          <w:p>
            <w:pPr>
              <w:ind w:left="1340"/>
              <w:spacing w:after="0"/>
              <w:rPr>
                <w:sz w:val="20"/>
                <w:szCs w:val="20"/>
                <w:color w:val="auto"/>
              </w:rPr>
            </w:pPr>
            <w:r>
              <w:rPr>
                <w:rFonts w:ascii="Arial" w:cs="Arial" w:eastAsia="Arial" w:hAnsi="Arial"/>
                <w:sz w:val="18"/>
                <w:szCs w:val="18"/>
                <w:color w:val="auto"/>
              </w:rPr>
              <w:t>Same as Vesting Schedule</w:t>
            </w:r>
          </w:p>
        </w:tc>
        <w:tc>
          <w:tcPr>
            <w:tcW w:w="3060" w:type="dxa"/>
            <w:vAlign w:val="bottom"/>
          </w:tcPr>
          <w:p>
            <w:pPr>
              <w:spacing w:after="0"/>
              <w:rPr>
                <w:sz w:val="24"/>
                <w:szCs w:val="24"/>
                <w:color w:val="auto"/>
              </w:rPr>
            </w:pPr>
          </w:p>
        </w:tc>
      </w:tr>
      <w:tr>
        <w:trPr>
          <w:trHeight w:val="284"/>
        </w:trPr>
        <w:tc>
          <w:tcPr>
            <w:tcW w:w="27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1400" w:type="dxa"/>
            <w:vAlign w:val="bottom"/>
          </w:tcPr>
          <w:p>
            <w:pPr>
              <w:ind w:left="1340"/>
              <w:spacing w:after="0"/>
              <w:rPr>
                <w:sz w:val="20"/>
                <w:szCs w:val="20"/>
                <w:color w:val="auto"/>
              </w:rPr>
            </w:pPr>
            <w:r>
              <w:rPr>
                <w:rFonts w:ascii="Arial" w:cs="Arial" w:eastAsia="Arial" w:hAnsi="Arial"/>
                <w:sz w:val="18"/>
                <w:szCs w:val="18"/>
                <w:color w:val="auto"/>
                <w:w w:val="78"/>
              </w:rPr>
              <w:t>[</w:t>
            </w:r>
          </w:p>
        </w:tc>
        <w:tc>
          <w:tcPr>
            <w:tcW w:w="1260" w:type="dxa"/>
            <w:vAlign w:val="bottom"/>
            <w:tcBorders>
              <w:bottom w:val="single" w:sz="8" w:color="auto"/>
            </w:tcBorders>
          </w:tcPr>
          <w:p>
            <w:pPr>
              <w:spacing w:after="0"/>
              <w:rPr>
                <w:sz w:val="24"/>
                <w:szCs w:val="24"/>
                <w:color w:val="auto"/>
              </w:rPr>
            </w:pPr>
          </w:p>
        </w:tc>
        <w:tc>
          <w:tcPr>
            <w:tcW w:w="1540" w:type="dxa"/>
            <w:vAlign w:val="bottom"/>
          </w:tcPr>
          <w:p>
            <w:pPr>
              <w:jc w:val="right"/>
              <w:ind w:right="1390"/>
              <w:spacing w:after="0"/>
              <w:rPr>
                <w:sz w:val="20"/>
                <w:szCs w:val="20"/>
                <w:color w:val="auto"/>
              </w:rPr>
            </w:pPr>
            <w:r>
              <w:rPr>
                <w:rFonts w:ascii="Arial" w:cs="Arial" w:eastAsia="Arial" w:hAnsi="Arial"/>
                <w:sz w:val="18"/>
                <w:szCs w:val="18"/>
                <w:color w:val="auto"/>
                <w:w w:val="78"/>
              </w:rPr>
              <w:t>]</w:t>
            </w:r>
          </w:p>
        </w:tc>
        <w:tc>
          <w:tcPr>
            <w:tcW w:w="3060" w:type="dxa"/>
            <w:vAlign w:val="bottom"/>
          </w:tcPr>
          <w:p>
            <w:pPr>
              <w:spacing w:after="0"/>
              <w:rPr>
                <w:sz w:val="24"/>
                <w:szCs w:val="24"/>
                <w:color w:val="auto"/>
              </w:rPr>
            </w:pPr>
          </w:p>
        </w:tc>
      </w:tr>
      <w:tr>
        <w:trPr>
          <w:trHeight w:val="345"/>
        </w:trPr>
        <w:tc>
          <w:tcPr>
            <w:tcW w:w="2780" w:type="dxa"/>
            <w:vAlign w:val="bottom"/>
          </w:tcPr>
          <w:p>
            <w:pPr>
              <w:spacing w:after="0"/>
              <w:rPr>
                <w:sz w:val="20"/>
                <w:szCs w:val="20"/>
                <w:color w:val="auto"/>
              </w:rPr>
            </w:pPr>
            <w:r>
              <w:rPr>
                <w:rFonts w:ascii="Arial" w:cs="Arial" w:eastAsia="Arial" w:hAnsi="Arial"/>
                <w:sz w:val="18"/>
                <w:szCs w:val="18"/>
                <w:b w:val="1"/>
                <w:bCs w:val="1"/>
                <w:color w:val="auto"/>
              </w:rPr>
              <w:t>Payment:</w:t>
            </w:r>
          </w:p>
        </w:tc>
        <w:tc>
          <w:tcPr>
            <w:tcW w:w="7260" w:type="dxa"/>
            <w:vAlign w:val="bottom"/>
            <w:gridSpan w:val="4"/>
          </w:tcPr>
          <w:p>
            <w:pPr>
              <w:ind w:left="1340"/>
              <w:spacing w:after="0"/>
              <w:rPr>
                <w:sz w:val="20"/>
                <w:szCs w:val="20"/>
                <w:color w:val="auto"/>
              </w:rPr>
            </w:pPr>
            <w:r>
              <w:rPr>
                <w:rFonts w:ascii="Arial" w:cs="Arial" w:eastAsia="Arial" w:hAnsi="Arial"/>
                <w:sz w:val="18"/>
                <w:szCs w:val="18"/>
                <w:color w:val="auto"/>
                <w:w w:val="96"/>
              </w:rPr>
              <w:t>By one or a combination of the following items (described in the Agreement):</w:t>
            </w:r>
          </w:p>
        </w:tc>
      </w:tr>
    </w:tbl>
    <w:p>
      <w:pPr>
        <w:spacing w:after="0" w:line="94" w:lineRule="exact"/>
        <w:rPr>
          <w:sz w:val="20"/>
          <w:szCs w:val="20"/>
          <w:color w:val="auto"/>
        </w:rPr>
      </w:pPr>
    </w:p>
    <w:p>
      <w:pPr>
        <w:ind w:left="4340" w:hanging="213"/>
        <w:spacing w:after="0"/>
        <w:tabs>
          <w:tab w:leader="none" w:pos="4340" w:val="left"/>
        </w:tabs>
        <w:numPr>
          <w:ilvl w:val="0"/>
          <w:numId w:val="311"/>
        </w:numPr>
        <w:rPr>
          <w:rFonts w:ascii="MS PGothic" w:cs="MS PGothic" w:eastAsia="MS PGothic" w:hAnsi="MS PGothic"/>
          <w:sz w:val="18"/>
          <w:szCs w:val="18"/>
          <w:color w:val="auto"/>
        </w:rPr>
      </w:pPr>
      <w:r>
        <w:rPr>
          <w:rFonts w:ascii="Arial" w:cs="Arial" w:eastAsia="Arial" w:hAnsi="Arial"/>
          <w:sz w:val="18"/>
          <w:szCs w:val="18"/>
          <w:color w:val="auto"/>
        </w:rPr>
        <w:t>By cash, check, bank draft, wire transfer or money order payable to the Company</w:t>
      </w:r>
    </w:p>
    <w:p>
      <w:pPr>
        <w:spacing w:after="0" w:line="130" w:lineRule="exact"/>
        <w:rPr>
          <w:rFonts w:ascii="MS PGothic" w:cs="MS PGothic" w:eastAsia="MS PGothic" w:hAnsi="MS PGothic"/>
          <w:sz w:val="18"/>
          <w:szCs w:val="18"/>
          <w:color w:val="auto"/>
        </w:rPr>
      </w:pPr>
    </w:p>
    <w:p>
      <w:pPr>
        <w:ind w:left="4340" w:hanging="213"/>
        <w:spacing w:after="0"/>
        <w:tabs>
          <w:tab w:leader="none" w:pos="4340" w:val="left"/>
        </w:tabs>
        <w:numPr>
          <w:ilvl w:val="0"/>
          <w:numId w:val="311"/>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 if the shares are publicly traded</w:t>
      </w:r>
    </w:p>
    <w:p>
      <w:pPr>
        <w:spacing w:after="0" w:line="130" w:lineRule="exact"/>
        <w:rPr>
          <w:rFonts w:ascii="MS PGothic" w:cs="MS PGothic" w:eastAsia="MS PGothic" w:hAnsi="MS PGothic"/>
          <w:sz w:val="18"/>
          <w:szCs w:val="18"/>
          <w:color w:val="auto"/>
        </w:rPr>
      </w:pPr>
    </w:p>
    <w:p>
      <w:pPr>
        <w:ind w:left="4340" w:hanging="213"/>
        <w:spacing w:after="0"/>
        <w:tabs>
          <w:tab w:leader="none" w:pos="4340" w:val="left"/>
        </w:tabs>
        <w:numPr>
          <w:ilvl w:val="0"/>
          <w:numId w:val="311"/>
        </w:numPr>
        <w:rPr>
          <w:rFonts w:ascii="MS PGothic" w:cs="MS PGothic" w:eastAsia="MS PGothic" w:hAnsi="MS PGothic"/>
          <w:sz w:val="18"/>
          <w:szCs w:val="18"/>
          <w:color w:val="auto"/>
        </w:rPr>
      </w:pPr>
      <w:r>
        <w:rPr>
          <w:rFonts w:ascii="Arial" w:cs="Arial" w:eastAsia="Arial" w:hAnsi="Arial"/>
          <w:sz w:val="18"/>
          <w:szCs w:val="18"/>
          <w:color w:val="auto"/>
        </w:rPr>
        <w:t>By delivery of already-owned shares if the shares are publicly traded</w:t>
      </w:r>
    </w:p>
    <w:p>
      <w:pPr>
        <w:spacing w:after="0" w:line="130" w:lineRule="exact"/>
        <w:rPr>
          <w:rFonts w:ascii="MS PGothic" w:cs="MS PGothic" w:eastAsia="MS PGothic" w:hAnsi="MS PGothic"/>
          <w:sz w:val="18"/>
          <w:szCs w:val="18"/>
          <w:color w:val="auto"/>
        </w:rPr>
      </w:pPr>
    </w:p>
    <w:p>
      <w:pPr>
        <w:ind w:left="4480" w:right="800" w:hanging="353"/>
        <w:spacing w:after="0" w:line="308" w:lineRule="auto"/>
        <w:tabs>
          <w:tab w:leader="none" w:pos="4444" w:val="left"/>
        </w:tabs>
        <w:numPr>
          <w:ilvl w:val="0"/>
          <w:numId w:val="311"/>
        </w:numPr>
        <w:rPr>
          <w:rFonts w:ascii="MS PGothic" w:cs="MS PGothic" w:eastAsia="MS PGothic" w:hAnsi="MS PGothic"/>
          <w:sz w:val="17"/>
          <w:szCs w:val="17"/>
          <w:color w:val="auto"/>
        </w:rPr>
      </w:pPr>
      <w:r>
        <w:rPr>
          <w:rFonts w:ascii="Arial" w:cs="Arial" w:eastAsia="Arial" w:hAnsi="Arial"/>
          <w:sz w:val="17"/>
          <w:szCs w:val="17"/>
          <w:color w:val="auto"/>
        </w:rPr>
        <w:t>If and only to the extent this option is a Nonstatutory Stock Option, and subject to the Company’s consent at the time of exercise, by a “net exercise” arrangement</w:t>
      </w:r>
    </w:p>
    <w:p>
      <w:pPr>
        <w:spacing w:after="0" w:line="15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Additional Terms/Acknowledgements: </w:t>
      </w:r>
      <w:r>
        <w:rPr>
          <w:rFonts w:ascii="Arial" w:cs="Arial" w:eastAsia="Arial" w:hAnsi="Arial"/>
          <w:sz w:val="18"/>
          <w:szCs w:val="18"/>
          <w:color w:val="auto"/>
        </w:rPr>
        <w:t>Optionholder acknowledges receipt of, and understands and agrees to all of the terms and conditions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Grant Notice, the Agreement and the Plan. Optionholder acknowledges and agrees that this Stock Option Grant Notice and the Agreement may not be modified, amended or revised except as provided in the Plan. Optionholder further acknowledges that as of the Date of Grant, this Stock Option Grant Notice, the Agreement, and the Plan set forth the entire understanding between Optionholder and the Company regarding this option award and supersede all prior oral and written agreements, promises and/or representations on that subject with the exception of (i) options previously granted and delivered to Optionholder, (ii) any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89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5" w:lineRule="exact"/>
        <w:rPr>
          <w:sz w:val="20"/>
          <w:szCs w:val="20"/>
          <w:color w:val="auto"/>
        </w:rPr>
      </w:pPr>
    </w:p>
    <w:p>
      <w:pPr>
        <w:ind w:left="460" w:right="420" w:hanging="452"/>
        <w:spacing w:after="0" w:line="277" w:lineRule="auto"/>
        <w:tabs>
          <w:tab w:leader="none" w:pos="460" w:val="left"/>
        </w:tabs>
        <w:numPr>
          <w:ilvl w:val="0"/>
          <w:numId w:val="312"/>
        </w:numPr>
        <w:rPr>
          <w:rFonts w:ascii="Arial" w:cs="Arial" w:eastAsia="Arial" w:hAnsi="Arial"/>
          <w:sz w:val="15"/>
          <w:szCs w:val="15"/>
          <w:color w:val="auto"/>
        </w:rPr>
      </w:pP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ectPr>
          <w:pgSz w:w="11900" w:h="16838" w:orient="portrait"/>
          <w:cols w:equalWidth="0" w:num="1">
            <w:col w:w="11420"/>
          </w:cols>
          <w:pgMar w:left="240" w:top="121" w:right="239" w:bottom="1440" w:gutter="0" w:footer="0" w:header="0"/>
        </w:sectPr>
      </w:pPr>
    </w:p>
    <w:bookmarkStart w:id="325" w:name="page326"/>
    <w:bookmarkEnd w:id="325"/>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recovery policy that is adopted by the Company or is otherwise required by applicable law and (iii) any written employment or severance arrangement that would provide for vesting acceleration of this option upon the terms and conditions set forth therein.</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By accepting this option, Optionholder consents to receive such documents by electronic delivery and to participate in the Plan through an on-line or electronic system established and maintained by the Company or a third party designated by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4"/>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ORTY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EVEN</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c>
          <w:tcPr>
            <w:tcW w:w="6140" w:type="dxa"/>
            <w:vAlign w:val="bottom"/>
            <w:gridSpan w:val="2"/>
          </w:tcPr>
          <w:p>
            <w:pPr>
              <w:jc w:val="center"/>
              <w:ind w:right="449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PTIONHOLDER</w:t>
            </w:r>
            <w:r>
              <w:rPr>
                <w:rFonts w:ascii="Arial" w:cs="Arial" w:eastAsia="Arial" w:hAnsi="Arial"/>
                <w:sz w:val="18"/>
                <w:szCs w:val="18"/>
                <w:b w:val="1"/>
                <w:bCs w:val="1"/>
                <w:color w:val="auto"/>
              </w:rPr>
              <w:t>:</w:t>
            </w:r>
          </w:p>
        </w:tc>
      </w:tr>
      <w:tr>
        <w:trPr>
          <w:trHeight w:val="324"/>
        </w:trPr>
        <w:tc>
          <w:tcPr>
            <w:tcW w:w="5280" w:type="dxa"/>
            <w:vAlign w:val="bottom"/>
            <w:gridSpan w:val="4"/>
          </w:tcPr>
          <w:p>
            <w:pPr>
              <w:spacing w:after="0"/>
              <w:rPr>
                <w:sz w:val="20"/>
                <w:szCs w:val="20"/>
                <w:color w:val="auto"/>
              </w:rPr>
            </w:pPr>
            <w:r>
              <w:rPr>
                <w:rFonts w:ascii="Arial" w:cs="Arial" w:eastAsia="Arial" w:hAnsi="Arial"/>
                <w:sz w:val="18"/>
                <w:szCs w:val="18"/>
                <w:color w:val="auto"/>
              </w:rPr>
              <w:t>By:</w:t>
            </w:r>
          </w:p>
        </w:tc>
        <w:tc>
          <w:tcPr>
            <w:tcW w:w="10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320" w:type="dxa"/>
            <w:vAlign w:val="bottom"/>
            <w:tcBorders>
              <w:top w:val="single" w:sz="8" w:color="auto"/>
            </w:tcBorders>
          </w:tcPr>
          <w:p>
            <w:pPr>
              <w:ind w:left="1600"/>
              <w:spacing w:after="0"/>
              <w:rPr>
                <w:sz w:val="20"/>
                <w:szCs w:val="20"/>
                <w:color w:val="auto"/>
              </w:rPr>
            </w:pPr>
            <w:r>
              <w:rPr>
                <w:rFonts w:ascii="Arial" w:cs="Arial" w:eastAsia="Arial" w:hAnsi="Arial"/>
                <w:sz w:val="18"/>
                <w:szCs w:val="18"/>
                <w:color w:val="auto"/>
              </w:rPr>
              <w:t>Signature</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12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Signature</w:t>
            </w: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gridSpan w:val="2"/>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ind w:left="430"/>
              <w:spacing w:after="0"/>
              <w:rPr>
                <w:sz w:val="20"/>
                <w:szCs w:val="20"/>
                <w:color w:val="auto"/>
              </w:rPr>
            </w:pPr>
            <w:r>
              <w:rPr>
                <w:rFonts w:ascii="Arial" w:cs="Arial" w:eastAsia="Arial" w:hAnsi="Arial"/>
                <w:sz w:val="18"/>
                <w:szCs w:val="18"/>
                <w:color w:val="auto"/>
                <w:w w:val="88"/>
              </w:rPr>
              <w:t>Date:</w:t>
            </w:r>
          </w:p>
        </w:tc>
        <w:tc>
          <w:tcPr>
            <w:tcW w:w="5120" w:type="dxa"/>
            <w:vAlign w:val="bottom"/>
            <w:tcBorders>
              <w:bottom w:val="single" w:sz="8" w:color="auto"/>
            </w:tcBorders>
          </w:tcPr>
          <w:p>
            <w:pPr>
              <w:spacing w:after="0"/>
              <w:rPr>
                <w:sz w:val="24"/>
                <w:szCs w:val="24"/>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gridSpan w:val="2"/>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pacing w:after="0" w:line="198" w:lineRule="exact"/>
        <w:rPr>
          <w:sz w:val="20"/>
          <w:szCs w:val="20"/>
          <w:color w:val="auto"/>
        </w:rPr>
      </w:pPr>
    </w:p>
    <w:p>
      <w:pPr>
        <w:ind w:left="5660" w:right="5540" w:hanging="5660"/>
        <w:spacing w:after="0" w:line="390" w:lineRule="auto"/>
        <w:rPr>
          <w:sz w:val="20"/>
          <w:szCs w:val="20"/>
          <w:color w:val="auto"/>
        </w:rPr>
      </w:pPr>
      <w:r>
        <w:rPr>
          <w:rFonts w:ascii="Arial" w:cs="Arial" w:eastAsia="Arial" w:hAnsi="Arial"/>
          <w:sz w:val="16"/>
          <w:szCs w:val="16"/>
          <w:b w:val="1"/>
          <w:bCs w:val="1"/>
          <w:color w:val="auto"/>
        </w:rPr>
        <w:t>A</w:t>
      </w:r>
      <w:r>
        <w:rPr>
          <w:rFonts w:ascii="Arial" w:cs="Arial" w:eastAsia="Arial" w:hAnsi="Arial"/>
          <w:sz w:val="13"/>
          <w:szCs w:val="13"/>
          <w:b w:val="1"/>
          <w:bCs w:val="1"/>
          <w:color w:val="auto"/>
        </w:rPr>
        <w:t>TTACHMENTS</w:t>
      </w:r>
      <w:r>
        <w:rPr>
          <w:rFonts w:ascii="Arial" w:cs="Arial" w:eastAsia="Arial" w:hAnsi="Arial"/>
          <w:sz w:val="16"/>
          <w:szCs w:val="16"/>
          <w:color w:val="auto"/>
        </w:rPr>
        <w:t>: Agreement, 2018 Equity Incentive Plan, and Notice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2</w:t>
      </w:r>
    </w:p>
    <w:p>
      <w:pPr>
        <w:sectPr>
          <w:pgSz w:w="11900" w:h="16838" w:orient="portrait"/>
          <w:cols w:equalWidth="0" w:num="1">
            <w:col w:w="11420"/>
          </w:cols>
          <w:pgMar w:left="240" w:top="274" w:right="239" w:bottom="1440" w:gutter="0" w:footer="0" w:header="0"/>
        </w:sectPr>
      </w:pPr>
    </w:p>
    <w:bookmarkStart w:id="326" w:name="page327"/>
    <w:bookmarkEnd w:id="3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ORTY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EVEN</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 OR</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your Stock Option Grant Notice (“</w:t>
      </w:r>
      <w:r>
        <w:rPr>
          <w:rFonts w:ascii="Arial" w:cs="Arial" w:eastAsia="Arial" w:hAnsi="Arial"/>
          <w:sz w:val="17"/>
          <w:szCs w:val="17"/>
          <w:b w:val="1"/>
          <w:bCs w:val="1"/>
          <w:i w:val="1"/>
          <w:iCs w:val="1"/>
          <w:color w:val="auto"/>
        </w:rPr>
        <w:t>Stock Option Grant Notice</w:t>
      </w:r>
      <w:r>
        <w:rPr>
          <w:rFonts w:ascii="Arial" w:cs="Arial" w:eastAsia="Arial" w:hAnsi="Arial"/>
          <w:sz w:val="17"/>
          <w:szCs w:val="17"/>
          <w:color w:val="auto"/>
        </w:rPr>
        <w:t>”) and this Option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Forty Seven, Inc.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you an option under its 2018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to purchase the number of shares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indicated in your Stock Option Grant Notice at the exercise price indicated in your Stock Option Grant Notice. The option is granted to you effective as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grant set forth in the Stock Option Grant Notice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If there is any conflict between the terms in this Agreement and the Plan,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the Plan will control. Capitalized terms not explicitly defined in this Agreement or in the Stock Option Grant Notice but defined in the Plan will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same definitions as in the Plan.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your option, in addition to those set forth in the Stock Option Grant Notice and the Plan, are as follows:</w:t>
      </w:r>
    </w:p>
    <w:p>
      <w:pPr>
        <w:spacing w:after="0" w:line="221" w:lineRule="exact"/>
        <w:rPr>
          <w:sz w:val="20"/>
          <w:szCs w:val="20"/>
          <w:color w:val="auto"/>
        </w:rPr>
      </w:pPr>
    </w:p>
    <w:p>
      <w:pPr>
        <w:ind w:right="20" w:firstLine="464"/>
        <w:spacing w:after="0" w:line="282" w:lineRule="auto"/>
        <w:tabs>
          <w:tab w:leader="none" w:pos="636"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ESTING</w:t>
      </w:r>
      <w:r>
        <w:rPr>
          <w:rFonts w:ascii="Arial" w:cs="Arial" w:eastAsia="Arial" w:hAnsi="Arial"/>
          <w:sz w:val="18"/>
          <w:szCs w:val="18"/>
          <w:color w:val="auto"/>
        </w:rPr>
        <w:t>. Your option will vest as provided in your Stock Option Grant Notice. Vesting will cease upon the termination of your Continuous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as described in Section 8 below.</w:t>
      </w:r>
    </w:p>
    <w:p>
      <w:pPr>
        <w:spacing w:after="0" w:line="53" w:lineRule="exact"/>
        <w:rPr>
          <w:rFonts w:ascii="Arial" w:cs="Arial" w:eastAsia="Arial" w:hAnsi="Arial"/>
          <w:sz w:val="18"/>
          <w:szCs w:val="18"/>
          <w:b w:val="1"/>
          <w:bCs w:val="1"/>
          <w:color w:val="auto"/>
        </w:rPr>
      </w:pPr>
    </w:p>
    <w:p>
      <w:pPr>
        <w:ind w:right="180" w:firstLine="464"/>
        <w:spacing w:after="0" w:line="282" w:lineRule="auto"/>
        <w:tabs>
          <w:tab w:leader="none" w:pos="636"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color w:val="auto"/>
        </w:rPr>
        <w:t>. The number of shares of Common Stock subject to your option and your exercise price per share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Stock Option Grant Notice will be adjusted for Capitalization Adjustments.</w:t>
      </w:r>
    </w:p>
    <w:p>
      <w:pPr>
        <w:spacing w:after="0" w:line="53" w:lineRule="exact"/>
        <w:rPr>
          <w:rFonts w:ascii="Arial" w:cs="Arial" w:eastAsia="Arial" w:hAnsi="Arial"/>
          <w:sz w:val="18"/>
          <w:szCs w:val="18"/>
          <w:b w:val="1"/>
          <w:bCs w:val="1"/>
          <w:color w:val="auto"/>
        </w:rPr>
      </w:pPr>
    </w:p>
    <w:p>
      <w:pPr>
        <w:ind w:right="120" w:firstLine="464"/>
        <w:spacing w:after="0" w:line="255" w:lineRule="auto"/>
        <w:tabs>
          <w:tab w:leader="none" w:pos="636"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ESTRICTION FOR</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ON</w:t>
      </w:r>
      <w:r>
        <w:rPr>
          <w:rFonts w:ascii="Arial" w:cs="Arial" w:eastAsia="Arial" w:hAnsi="Arial"/>
          <w:sz w:val="18"/>
          <w:szCs w:val="18"/>
          <w:b w:val="1"/>
          <w:bCs w:val="1"/>
          <w:color w:val="auto"/>
        </w:rPr>
        <w:t>-E</w:t>
      </w:r>
      <w:r>
        <w:rPr>
          <w:rFonts w:ascii="Arial" w:cs="Arial" w:eastAsia="Arial" w:hAnsi="Arial"/>
          <w:sz w:val="15"/>
          <w:szCs w:val="15"/>
          <w:b w:val="1"/>
          <w:bCs w:val="1"/>
          <w:color w:val="auto"/>
        </w:rPr>
        <w:t>XEMPT</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MPLOYEES</w:t>
      </w:r>
      <w:r>
        <w:rPr>
          <w:rFonts w:ascii="Arial" w:cs="Arial" w:eastAsia="Arial" w:hAnsi="Arial"/>
          <w:sz w:val="18"/>
          <w:szCs w:val="18"/>
          <w:color w:val="auto"/>
        </w:rPr>
        <w:t>. If you are an Employee eligible for overtime compensation under the U.S. Fair Labor</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Act of 1938, as amended (that is, a “</w:t>
      </w:r>
      <w:r>
        <w:rPr>
          <w:rFonts w:ascii="Arial" w:cs="Arial" w:eastAsia="Arial" w:hAnsi="Arial"/>
          <w:sz w:val="18"/>
          <w:szCs w:val="18"/>
          <w:b w:val="1"/>
          <w:bCs w:val="1"/>
          <w:i w:val="1"/>
          <w:iCs w:val="1"/>
          <w:color w:val="auto"/>
        </w:rPr>
        <w:t>Non-Exempt Employee</w:t>
      </w:r>
      <w:r>
        <w:rPr>
          <w:rFonts w:ascii="Arial" w:cs="Arial" w:eastAsia="Arial" w:hAnsi="Arial"/>
          <w:sz w:val="18"/>
          <w:szCs w:val="18"/>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U.S.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81" w:lineRule="exact"/>
        <w:rPr>
          <w:rFonts w:ascii="Arial" w:cs="Arial" w:eastAsia="Arial" w:hAnsi="Arial"/>
          <w:sz w:val="18"/>
          <w:szCs w:val="18"/>
          <w:b w:val="1"/>
          <w:bCs w:val="1"/>
          <w:color w:val="auto"/>
        </w:rPr>
      </w:pPr>
    </w:p>
    <w:p>
      <w:pPr>
        <w:ind w:right="20" w:firstLine="464"/>
        <w:spacing w:after="0" w:line="258" w:lineRule="auto"/>
        <w:tabs>
          <w:tab w:leader="none" w:pos="636"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IMITATION</w:t>
      </w:r>
      <w:r>
        <w:rPr>
          <w:rFonts w:ascii="Arial" w:cs="Arial" w:eastAsia="Arial" w:hAnsi="Arial"/>
          <w:sz w:val="18"/>
          <w:szCs w:val="18"/>
          <w:color w:val="auto"/>
        </w:rPr>
        <w:t>. If your option is an Incentive Stock Option, then, to the extent that the aggregate 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at the Date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will be treated as Nonstatutory Stock Options.</w:t>
      </w:r>
    </w:p>
    <w:p>
      <w:pPr>
        <w:spacing w:after="0" w:line="75" w:lineRule="exact"/>
        <w:rPr>
          <w:rFonts w:ascii="Arial" w:cs="Arial" w:eastAsia="Arial" w:hAnsi="Arial"/>
          <w:sz w:val="18"/>
          <w:szCs w:val="18"/>
          <w:b w:val="1"/>
          <w:bCs w:val="1"/>
          <w:color w:val="auto"/>
        </w:rPr>
      </w:pPr>
    </w:p>
    <w:p>
      <w:pPr>
        <w:ind w:right="200" w:firstLine="464"/>
        <w:spacing w:after="0" w:line="266" w:lineRule="auto"/>
        <w:tabs>
          <w:tab w:leader="none" w:pos="636"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color w:val="auto"/>
        </w:rPr>
        <w:t>. You must pay the full amount of the exercise price for the shares you wish to exercise. You may pay the exercise price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or by check, bank draft, wire transfer or money order payable to the Company or in any other manner permitted by your Stock Option Grant Notice</w:t>
      </w:r>
      <w:r>
        <w:rPr>
          <w:rFonts w:ascii="Arial" w:cs="Arial" w:eastAsia="Arial" w:hAnsi="Arial"/>
          <w:sz w:val="18"/>
          <w:szCs w:val="18"/>
          <w:i w:val="1"/>
          <w:iCs w:val="1"/>
          <w:color w:val="auto"/>
        </w:rPr>
        <w:t>,</w:t>
      </w:r>
      <w:r>
        <w:rPr>
          <w:rFonts w:ascii="Arial" w:cs="Arial" w:eastAsia="Arial" w:hAnsi="Arial"/>
          <w:sz w:val="18"/>
          <w:szCs w:val="18"/>
          <w:color w:val="auto"/>
        </w:rPr>
        <w:t xml:space="preserve"> which may include one or more of the following:</w:t>
      </w:r>
    </w:p>
    <w:p>
      <w:pPr>
        <w:spacing w:after="0" w:line="72" w:lineRule="exact"/>
        <w:rPr>
          <w:rFonts w:ascii="Arial" w:cs="Arial" w:eastAsia="Arial" w:hAnsi="Arial"/>
          <w:sz w:val="18"/>
          <w:szCs w:val="18"/>
          <w:b w:val="1"/>
          <w:bCs w:val="1"/>
          <w:color w:val="auto"/>
        </w:rPr>
      </w:pPr>
    </w:p>
    <w:p>
      <w:pPr>
        <w:ind w:right="800" w:firstLine="921"/>
        <w:spacing w:after="0" w:line="277" w:lineRule="auto"/>
        <w:tabs>
          <w:tab w:leader="none" w:pos="1168" w:val="left"/>
        </w:tabs>
        <w:numPr>
          <w:ilvl w:val="1"/>
          <w:numId w:val="313"/>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Common Stock is publicly traded, pursuant to a program developed under Regulation T as promulgated by the Federal Reserve Board that,</w:t>
      </w:r>
    </w:p>
    <w:p>
      <w:pPr>
        <w:sectPr>
          <w:pgSz w:w="11900" w:h="16838" w:orient="portrait"/>
          <w:cols w:equalWidth="0" w:num="1">
            <w:col w:w="11400"/>
          </w:cols>
          <w:pgMar w:left="240" w:top="270" w:right="259" w:bottom="1440" w:gutter="0" w:footer="0" w:header="0"/>
        </w:sectPr>
      </w:pPr>
    </w:p>
    <w:bookmarkStart w:id="327" w:name="page328"/>
    <w:bookmarkEnd w:id="327"/>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73" w:lineRule="exact"/>
        <w:rPr>
          <w:sz w:val="20"/>
          <w:szCs w:val="20"/>
          <w:color w:val="auto"/>
        </w:rPr>
      </w:pPr>
    </w:p>
    <w:p>
      <w:pPr>
        <w:ind w:right="40" w:firstLine="921"/>
        <w:spacing w:after="0" w:line="255" w:lineRule="auto"/>
        <w:tabs>
          <w:tab w:leader="none" w:pos="1178" w:val="left"/>
        </w:tabs>
        <w:numPr>
          <w:ilvl w:val="1"/>
          <w:numId w:val="314"/>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whose Fair Market Value is equal to the aggregate exercise price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81" w:lineRule="exact"/>
        <w:rPr>
          <w:rFonts w:ascii="Arial" w:cs="Arial" w:eastAsia="Arial" w:hAnsi="Arial"/>
          <w:sz w:val="18"/>
          <w:szCs w:val="18"/>
          <w:b w:val="1"/>
          <w:bCs w:val="1"/>
          <w:color w:val="auto"/>
        </w:rPr>
      </w:pPr>
    </w:p>
    <w:p>
      <w:pPr>
        <w:ind w:left="640" w:hanging="176"/>
        <w:spacing w:after="0"/>
        <w:tabs>
          <w:tab w:leader="none" w:pos="64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color w:val="auto"/>
        </w:rPr>
        <w:t>. You may exercise your option only for whole shares of Common Stock.</w:t>
      </w:r>
    </w:p>
    <w:p>
      <w:pPr>
        <w:spacing w:after="0" w:line="117" w:lineRule="exact"/>
        <w:rPr>
          <w:rFonts w:ascii="Arial" w:cs="Arial" w:eastAsia="Arial" w:hAnsi="Arial"/>
          <w:sz w:val="18"/>
          <w:szCs w:val="18"/>
          <w:b w:val="1"/>
          <w:bCs w:val="1"/>
          <w:color w:val="auto"/>
        </w:rPr>
      </w:pPr>
    </w:p>
    <w:p>
      <w:pPr>
        <w:ind w:right="60" w:firstLine="464"/>
        <w:spacing w:after="0" w:line="298" w:lineRule="auto"/>
        <w:tabs>
          <w:tab w:leader="none" w:pos="636" w:val="left"/>
        </w:tabs>
        <w:numPr>
          <w:ilvl w:val="0"/>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3"/>
          <w:szCs w:val="13"/>
          <w:b w:val="1"/>
          <w:bCs w:val="1"/>
          <w:color w:val="auto"/>
        </w:rPr>
        <w:t>OMPLIANCE</w:t>
      </w:r>
      <w:r>
        <w:rPr>
          <w:rFonts w:ascii="Arial" w:cs="Arial" w:eastAsia="Arial" w:hAnsi="Arial"/>
          <w:sz w:val="16"/>
          <w:szCs w:val="16"/>
          <w:color w:val="auto"/>
        </w:rPr>
        <w:t>. In no event may you exercise your option unless the shares of Common Stock issuable upon exercise are then registered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including any U.S. state, federal and local laws,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46" w:lineRule="exact"/>
        <w:rPr>
          <w:rFonts w:ascii="Arial" w:cs="Arial" w:eastAsia="Arial" w:hAnsi="Arial"/>
          <w:sz w:val="16"/>
          <w:szCs w:val="16"/>
          <w:b w:val="1"/>
          <w:bCs w:val="1"/>
          <w:color w:val="auto"/>
        </w:rPr>
      </w:pPr>
    </w:p>
    <w:p>
      <w:pPr>
        <w:ind w:right="460" w:firstLine="464"/>
        <w:spacing w:after="0" w:line="282" w:lineRule="auto"/>
        <w:tabs>
          <w:tab w:leader="none" w:pos="636"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w:t>
      </w:r>
      <w:r>
        <w:rPr>
          <w:rFonts w:ascii="Arial" w:cs="Arial" w:eastAsia="Arial" w:hAnsi="Arial"/>
          <w:sz w:val="18"/>
          <w:szCs w:val="18"/>
          <w:color w:val="auto"/>
        </w:rPr>
        <w:t>. You may not exercise your option before the Date of Grant or after the expiration of the option’s term. The term of your option expires,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5(h) of the Plan, upon the earliest of the following:</w:t>
      </w:r>
    </w:p>
    <w:p>
      <w:pPr>
        <w:spacing w:after="0" w:line="57" w:lineRule="exact"/>
        <w:rPr>
          <w:rFonts w:ascii="Arial" w:cs="Arial" w:eastAsia="Arial" w:hAnsi="Arial"/>
          <w:sz w:val="18"/>
          <w:szCs w:val="18"/>
          <w:b w:val="1"/>
          <w:bCs w:val="1"/>
          <w:color w:val="auto"/>
        </w:rPr>
      </w:pPr>
    </w:p>
    <w:p>
      <w:pPr>
        <w:ind w:left="1180" w:hanging="259"/>
        <w:spacing w:after="0"/>
        <w:tabs>
          <w:tab w:leader="none" w:pos="1180"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117" w:lineRule="exact"/>
        <w:rPr>
          <w:rFonts w:ascii="Arial" w:cs="Arial" w:eastAsia="Arial" w:hAnsi="Arial"/>
          <w:sz w:val="18"/>
          <w:szCs w:val="18"/>
          <w:b w:val="1"/>
          <w:bCs w:val="1"/>
          <w:color w:val="auto"/>
        </w:rPr>
      </w:pPr>
    </w:p>
    <w:p>
      <w:pPr>
        <w:ind w:firstLine="921"/>
        <w:spacing w:after="0" w:line="291" w:lineRule="auto"/>
        <w:tabs>
          <w:tab w:leader="none" w:pos="1178" w:val="left"/>
        </w:tabs>
        <w:numPr>
          <w:ilvl w:val="1"/>
          <w:numId w:val="315"/>
        </w:numPr>
        <w:rPr>
          <w:rFonts w:ascii="Arial" w:cs="Arial" w:eastAsia="Arial" w:hAnsi="Arial"/>
          <w:sz w:val="16"/>
          <w:szCs w:val="16"/>
          <w:b w:val="1"/>
          <w:bCs w:val="1"/>
          <w:color w:val="auto"/>
        </w:rPr>
      </w:pPr>
      <w:r>
        <w:rPr>
          <w:rFonts w:ascii="Arial" w:cs="Arial" w:eastAsia="Arial" w:hAnsi="Arial"/>
          <w:sz w:val="16"/>
          <w:szCs w:val="16"/>
          <w:color w:val="auto"/>
        </w:rPr>
        <w:t xml:space="preserve">three (3) months after the termination of your Continuous Service for any reason other than Cause, your Disability, or your death (except as otherwise provided in Section 8(d)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during any part of such three-month period your option is not exercisable solely because of the condition set forth in the section above relating to “Compliance,” your option will not expire until the earlier of the Expiration Date or until it has been exercisable for an aggregate period of three (3) months after the termination of your Continuous Service;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59" w:lineRule="exact"/>
        <w:rPr>
          <w:rFonts w:ascii="Arial" w:cs="Arial" w:eastAsia="Arial" w:hAnsi="Arial"/>
          <w:sz w:val="16"/>
          <w:szCs w:val="16"/>
          <w:b w:val="1"/>
          <w:bCs w:val="1"/>
          <w:color w:val="auto"/>
        </w:rPr>
      </w:pPr>
    </w:p>
    <w:p>
      <w:pPr>
        <w:ind w:left="1160" w:hanging="239"/>
        <w:spacing w:after="0"/>
        <w:tabs>
          <w:tab w:leader="none" w:pos="1160" w:val="left"/>
        </w:tabs>
        <w:numPr>
          <w:ilvl w:val="1"/>
          <w:numId w:val="315"/>
        </w:numPr>
        <w:rPr>
          <w:rFonts w:ascii="Arial" w:cs="Arial" w:eastAsia="Arial" w:hAnsi="Arial"/>
          <w:sz w:val="17"/>
          <w:szCs w:val="17"/>
          <w:b w:val="1"/>
          <w:bCs w:val="1"/>
          <w:color w:val="auto"/>
        </w:rPr>
      </w:pPr>
      <w:r>
        <w:rPr>
          <w:rFonts w:ascii="Arial" w:cs="Arial" w:eastAsia="Arial" w:hAnsi="Arial"/>
          <w:sz w:val="17"/>
          <w:szCs w:val="17"/>
          <w:color w:val="auto"/>
        </w:rPr>
        <w:t>twelve (12) months after the termination of your Continuous Service due to your Disability (except as otherwise provided in Section 8(d)</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below);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328" w:name="page329"/>
    <w:bookmarkEnd w:id="328"/>
    <w:p>
      <w:pPr>
        <w:ind w:right="420" w:firstLine="921"/>
        <w:spacing w:after="0" w:line="277" w:lineRule="auto"/>
        <w:tabs>
          <w:tab w:leader="none" w:pos="1178"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eighteen (18) months after your death if you die either during your Continuous Service or within three (3) months after your Continuous Service terminates for any reason other than Cause;</w:t>
      </w:r>
    </w:p>
    <w:p>
      <w:pPr>
        <w:spacing w:after="0" w:line="62" w:lineRule="exact"/>
        <w:rPr>
          <w:rFonts w:ascii="Arial" w:cs="Arial" w:eastAsia="Arial" w:hAnsi="Arial"/>
          <w:sz w:val="18"/>
          <w:szCs w:val="18"/>
          <w:b w:val="1"/>
          <w:bCs w:val="1"/>
          <w:color w:val="auto"/>
        </w:rPr>
      </w:pPr>
    </w:p>
    <w:p>
      <w:pPr>
        <w:ind w:left="1160" w:hanging="239"/>
        <w:spacing w:after="0"/>
        <w:tabs>
          <w:tab w:leader="none" w:pos="1160"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Stock Option Grant Notice; and</w:t>
      </w:r>
    </w:p>
    <w:p>
      <w:pPr>
        <w:spacing w:after="0" w:line="117" w:lineRule="exact"/>
        <w:rPr>
          <w:rFonts w:ascii="Arial" w:cs="Arial" w:eastAsia="Arial" w:hAnsi="Arial"/>
          <w:sz w:val="18"/>
          <w:szCs w:val="18"/>
          <w:b w:val="1"/>
          <w:bCs w:val="1"/>
          <w:color w:val="auto"/>
        </w:rPr>
      </w:pPr>
    </w:p>
    <w:p>
      <w:pPr>
        <w:ind w:left="1140" w:hanging="219"/>
        <w:spacing w:after="0"/>
        <w:tabs>
          <w:tab w:leader="none" w:pos="1140"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225"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If your option is an Incentive Stock Option, note that to obtain the U.S.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6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For purposes of your option, your Continuous Service will be considered terminated (regardless of the reason of termination, whether or not later found to be invalid or in breach of employment or other laws or rules in the jurisdiction where you are providing services or the terms of your employment or service agreement, if any) effective as of the date that you cease to actively provide services to the Company or any Affiliate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employment or service would not include any contractual notice period or any period of “garden leave” or similar period mandated under employment or other laws in the jurisdiction where you are employed or providing services or the terms of your employment or service agreement, if any). The Board shall have exclusive discretion to determine when you are no longer actively employed or providing services for purposes of the Plan (including whether you still may be considered to be providing services while on a leave of absence).</w:t>
      </w:r>
    </w:p>
    <w:p>
      <w:pPr>
        <w:spacing w:after="0" w:line="66" w:lineRule="exact"/>
        <w:rPr>
          <w:sz w:val="20"/>
          <w:szCs w:val="20"/>
          <w:color w:val="auto"/>
        </w:rPr>
      </w:pPr>
    </w:p>
    <w:p>
      <w:pPr>
        <w:ind w:left="640" w:hanging="176"/>
        <w:spacing w:after="0"/>
        <w:tabs>
          <w:tab w:leader="none" w:pos="640" w:val="left"/>
        </w:tabs>
        <w:numPr>
          <w:ilvl w:val="1"/>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right="320" w:firstLine="921"/>
        <w:spacing w:after="0" w:line="279" w:lineRule="auto"/>
        <w:tabs>
          <w:tab w:leader="none" w:pos="1168" w:val="left"/>
        </w:tabs>
        <w:numPr>
          <w:ilvl w:val="2"/>
          <w:numId w:val="317"/>
        </w:numPr>
        <w:rPr>
          <w:rFonts w:ascii="Arial" w:cs="Arial" w:eastAsia="Arial" w:hAnsi="Arial"/>
          <w:sz w:val="17"/>
          <w:szCs w:val="17"/>
          <w:b w:val="1"/>
          <w:bCs w:val="1"/>
          <w:color w:val="auto"/>
        </w:rPr>
      </w:pPr>
      <w:r>
        <w:rPr>
          <w:rFonts w:ascii="Arial" w:cs="Arial" w:eastAsia="Arial" w:hAnsi="Arial"/>
          <w:sz w:val="17"/>
          <w:szCs w:val="17"/>
          <w:color w:val="auto"/>
        </w:rPr>
        <w:t>You may exercise the vested portion of your option during its term by (i) delivering a Notice of Exercise (in a form designated by the Company) or completing such other documents and/or procedures designated by the Company for exercise and (ii) paying the exercise price and any applicable Tax-Related Items (as defined in Section 11 below) to the Company’s Secretary, stock plan administrator, or such other person as the Company may designate, together with such additional documents as the Company may then require.</w:t>
      </w:r>
    </w:p>
    <w:p>
      <w:pPr>
        <w:spacing w:after="0" w:line="63" w:lineRule="exact"/>
        <w:rPr>
          <w:rFonts w:ascii="Arial" w:cs="Arial" w:eastAsia="Arial" w:hAnsi="Arial"/>
          <w:sz w:val="17"/>
          <w:szCs w:val="17"/>
          <w:b w:val="1"/>
          <w:bCs w:val="1"/>
          <w:color w:val="auto"/>
        </w:rPr>
      </w:pPr>
    </w:p>
    <w:p>
      <w:pPr>
        <w:ind w:right="600" w:firstLine="921"/>
        <w:spacing w:after="0" w:line="277" w:lineRule="auto"/>
        <w:tabs>
          <w:tab w:leader="none" w:pos="1178" w:val="left"/>
        </w:tabs>
        <w:numPr>
          <w:ilvl w:val="2"/>
          <w:numId w:val="317"/>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Tax-Related Items.</w:t>
      </w:r>
    </w:p>
    <w:p>
      <w:pPr>
        <w:spacing w:after="0" w:line="62" w:lineRule="exact"/>
        <w:rPr>
          <w:rFonts w:ascii="Arial" w:cs="Arial" w:eastAsia="Arial" w:hAnsi="Arial"/>
          <w:sz w:val="18"/>
          <w:szCs w:val="18"/>
          <w:b w:val="1"/>
          <w:bCs w:val="1"/>
          <w:color w:val="auto"/>
        </w:rPr>
      </w:pPr>
    </w:p>
    <w:p>
      <w:pPr>
        <w:ind w:left="1160" w:hanging="239"/>
        <w:spacing w:after="0"/>
        <w:tabs>
          <w:tab w:leader="none" w:pos="1160" w:val="left"/>
        </w:tabs>
        <w:numPr>
          <w:ilvl w:val="2"/>
          <w:numId w:val="317"/>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by exercising your option you agree that you will notify the Company in writing within fifteen</w:t>
      </w:r>
    </w:p>
    <w:p>
      <w:pPr>
        <w:spacing w:after="0" w:line="34" w:lineRule="exact"/>
        <w:rPr>
          <w:rFonts w:ascii="Arial" w:cs="Arial" w:eastAsia="Arial" w:hAnsi="Arial"/>
          <w:sz w:val="17"/>
          <w:szCs w:val="17"/>
          <w:b w:val="1"/>
          <w:bCs w:val="1"/>
          <w:color w:val="auto"/>
        </w:rPr>
      </w:pPr>
    </w:p>
    <w:p>
      <w:pPr>
        <w:ind w:right="20" w:firstLine="8"/>
        <w:spacing w:after="0" w:line="261" w:lineRule="auto"/>
        <w:tabs>
          <w:tab w:leader="none" w:pos="34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spacing w:after="0" w:line="75" w:lineRule="exact"/>
        <w:rPr>
          <w:rFonts w:ascii="Arial" w:cs="Arial" w:eastAsia="Arial" w:hAnsi="Arial"/>
          <w:sz w:val="18"/>
          <w:szCs w:val="18"/>
          <w:color w:val="auto"/>
        </w:rPr>
      </w:pPr>
    </w:p>
    <w:p>
      <w:pPr>
        <w:ind w:firstLine="921"/>
        <w:spacing w:after="0" w:line="277" w:lineRule="auto"/>
        <w:tabs>
          <w:tab w:leader="none" w:pos="1178" w:val="left"/>
        </w:tabs>
        <w:numPr>
          <w:ilvl w:val="2"/>
          <w:numId w:val="318"/>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you will not sell, dispose of, transfer, make any short sale of, grant any option for the purchase of, or enter into any hedging or similar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29" w:name="page330"/>
    <w:bookmarkEnd w:id="3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 with the same economic effect as a sale with respect to any shares of Common Stock or other securities of the Company held by you, for a period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one hundred eighty (180) days following the effective date of a registration statement of the Company filed under the Securities Act (the “</w:t>
      </w:r>
      <w:r>
        <w:rPr>
          <w:rFonts w:ascii="Arial" w:cs="Arial" w:eastAsia="Arial" w:hAnsi="Arial"/>
          <w:sz w:val="17"/>
          <w:szCs w:val="17"/>
          <w:b w:val="1"/>
          <w:bCs w:val="1"/>
          <w:i w:val="1"/>
          <w:iCs w:val="1"/>
          <w:color w:val="auto"/>
        </w:rPr>
        <w:t>Lock-Up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contained in this section will prevent the exercise of a repurchase option, if any, in favor of the Company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Lock-Up Period. You further agree to execute and deliver such other agreements as may be reasonably requested by the Company or the underwriters that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foregoing or that are necessary to give further effect thereto. In order to enforce the foregoing covenant, the Company may impose stop-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 instructions with respect to your shares of Common Stock until the end of such period. You also agree that any transferee of any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(or other securities) of the Company held by you will be bound by this Section 9(d). The underwriters of the Company’s stock are intended third party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beneficiaries of this Section 9(d) and will have the right, power and authority to enforce the provisions hereof as though they were a party hereto.</w:t>
      </w:r>
    </w:p>
    <w:p>
      <w:pPr>
        <w:spacing w:after="0" w:line="110" w:lineRule="exact"/>
        <w:rPr>
          <w:sz w:val="20"/>
          <w:szCs w:val="20"/>
          <w:color w:val="auto"/>
        </w:rPr>
      </w:pPr>
    </w:p>
    <w:p>
      <w:pPr>
        <w:ind w:right="180" w:firstLine="464"/>
        <w:spacing w:after="0" w:line="282" w:lineRule="auto"/>
        <w:tabs>
          <w:tab w:leader="none" w:pos="723"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RANSFERABILITY</w:t>
      </w:r>
      <w:r>
        <w:rPr>
          <w:rFonts w:ascii="Arial" w:cs="Arial" w:eastAsia="Arial" w:hAnsi="Arial"/>
          <w:sz w:val="18"/>
          <w:szCs w:val="18"/>
          <w:color w:val="auto"/>
        </w:rPr>
        <w:t>. Except as otherwise provided in this Section 10, your option is not transferable, except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is exercisable during your life only by you.</w:t>
      </w:r>
    </w:p>
    <w:p>
      <w:pPr>
        <w:spacing w:after="0" w:line="53" w:lineRule="exact"/>
        <w:rPr>
          <w:rFonts w:ascii="Arial" w:cs="Arial" w:eastAsia="Arial" w:hAnsi="Arial"/>
          <w:sz w:val="18"/>
          <w:szCs w:val="18"/>
          <w:b w:val="1"/>
          <w:bCs w:val="1"/>
          <w:color w:val="auto"/>
        </w:rPr>
      </w:pPr>
    </w:p>
    <w:p>
      <w:pPr>
        <w:ind w:right="80" w:firstLine="921"/>
        <w:spacing w:after="0" w:line="266" w:lineRule="auto"/>
        <w:tabs>
          <w:tab w:leader="none" w:pos="1168" w:val="left"/>
        </w:tabs>
        <w:numPr>
          <w:ilvl w:val="1"/>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Certain Trusts</w:t>
      </w:r>
      <w:r>
        <w:rPr>
          <w:rFonts w:ascii="Arial" w:cs="Arial" w:eastAsia="Arial" w:hAnsi="Arial"/>
          <w:sz w:val="18"/>
          <w:szCs w:val="18"/>
          <w:color w:val="auto"/>
        </w:rPr>
        <w:t>. Upon receiving written permission from the Board or its duly authorized designee, you may transfer your option to a trust if</w:t>
      </w:r>
      <w:r>
        <w:rPr>
          <w:rFonts w:ascii="Arial" w:cs="Arial" w:eastAsia="Arial" w:hAnsi="Arial"/>
          <w:sz w:val="18"/>
          <w:szCs w:val="18"/>
          <w:b w:val="1"/>
          <w:bCs w:val="1"/>
          <w:color w:val="auto"/>
        </w:rPr>
        <w:t xml:space="preserve"> </w:t>
      </w:r>
      <w:r>
        <w:rPr>
          <w:rFonts w:ascii="Arial" w:cs="Arial" w:eastAsia="Arial" w:hAnsi="Arial"/>
          <w:sz w:val="18"/>
          <w:szCs w:val="18"/>
          <w:color w:val="auto"/>
        </w:rPr>
        <w:t>you are considered to be the sole beneficial owner (determined under Section 671 of the Code and applicable U.S. state law) while the option is held in the trust. You and the trustee must enter into transfer and other agreements required by the Company.</w:t>
      </w:r>
    </w:p>
    <w:p>
      <w:pPr>
        <w:spacing w:after="0" w:line="68" w:lineRule="exact"/>
        <w:rPr>
          <w:rFonts w:ascii="Arial" w:cs="Arial" w:eastAsia="Arial" w:hAnsi="Arial"/>
          <w:sz w:val="18"/>
          <w:szCs w:val="18"/>
          <w:b w:val="1"/>
          <w:bCs w:val="1"/>
          <w:color w:val="auto"/>
        </w:rPr>
      </w:pPr>
    </w:p>
    <w:p>
      <w:pPr>
        <w:ind w:right="60" w:firstLine="921"/>
        <w:spacing w:after="0" w:line="273" w:lineRule="auto"/>
        <w:tabs>
          <w:tab w:leader="none" w:pos="1178" w:val="left"/>
        </w:tabs>
        <w:numPr>
          <w:ilvl w:val="1"/>
          <w:numId w:val="319"/>
        </w:numPr>
        <w:rPr>
          <w:rFonts w:ascii="Arial" w:cs="Arial" w:eastAsia="Arial" w:hAnsi="Arial"/>
          <w:sz w:val="17"/>
          <w:szCs w:val="17"/>
          <w:b w:val="1"/>
          <w:bCs w:val="1"/>
          <w:color w:val="auto"/>
        </w:rPr>
      </w:pPr>
      <w:r>
        <w:rPr>
          <w:rFonts w:ascii="Arial" w:cs="Arial" w:eastAsia="Arial" w:hAnsi="Arial"/>
          <w:sz w:val="17"/>
          <w:szCs w:val="17"/>
          <w:b w:val="1"/>
          <w:bCs w:val="1"/>
          <w:color w:val="auto"/>
        </w:rPr>
        <w:t>Domestic Relations Orders</w:t>
      </w:r>
      <w:r>
        <w:rPr>
          <w:rFonts w:ascii="Arial" w:cs="Arial" w:eastAsia="Arial" w:hAnsi="Arial"/>
          <w:sz w:val="17"/>
          <w:szCs w:val="17"/>
          <w:color w:val="auto"/>
        </w:rPr>
        <w:t>. Upon receiving written permission from the Board or its duly authorized designee, and provided that you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64" w:lineRule="exact"/>
        <w:rPr>
          <w:rFonts w:ascii="Arial" w:cs="Arial" w:eastAsia="Arial" w:hAnsi="Arial"/>
          <w:sz w:val="17"/>
          <w:szCs w:val="17"/>
          <w:b w:val="1"/>
          <w:bCs w:val="1"/>
          <w:color w:val="auto"/>
        </w:rPr>
      </w:pPr>
    </w:p>
    <w:p>
      <w:pPr>
        <w:ind w:right="100" w:firstLine="921"/>
        <w:spacing w:after="0" w:line="277" w:lineRule="auto"/>
        <w:tabs>
          <w:tab w:leader="none" w:pos="1158" w:val="left"/>
        </w:tabs>
        <w:numPr>
          <w:ilvl w:val="1"/>
          <w:numId w:val="319"/>
        </w:numPr>
        <w:rPr>
          <w:rFonts w:ascii="Arial" w:cs="Arial" w:eastAsia="Arial" w:hAnsi="Arial"/>
          <w:sz w:val="17"/>
          <w:szCs w:val="17"/>
          <w:b w:val="1"/>
          <w:bCs w:val="1"/>
          <w:color w:val="auto"/>
        </w:rPr>
      </w:pPr>
      <w:r>
        <w:rPr>
          <w:rFonts w:ascii="Arial" w:cs="Arial" w:eastAsia="Arial" w:hAnsi="Arial"/>
          <w:sz w:val="17"/>
          <w:szCs w:val="17"/>
          <w:b w:val="1"/>
          <w:bCs w:val="1"/>
          <w:color w:val="auto"/>
        </w:rPr>
        <w:t>Beneficiary Designation</w:t>
      </w:r>
      <w:r>
        <w:rPr>
          <w:rFonts w:ascii="Arial" w:cs="Arial" w:eastAsia="Arial" w:hAnsi="Arial"/>
          <w:sz w:val="17"/>
          <w:szCs w:val="17"/>
          <w:color w:val="auto"/>
        </w:rPr>
        <w:t>. Upon receiving written permission from the Board or its duly authorized designee, you may, by delivering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or your legal heirs will be entitled to exercise this option and receive, on behalf of your estate, the Common Stock or other consideration resulting from such exercise.</w:t>
      </w:r>
    </w:p>
    <w:p>
      <w:pPr>
        <w:spacing w:after="0" w:line="60" w:lineRule="exact"/>
        <w:rPr>
          <w:rFonts w:ascii="Arial" w:cs="Arial" w:eastAsia="Arial" w:hAnsi="Arial"/>
          <w:sz w:val="17"/>
          <w:szCs w:val="17"/>
          <w:b w:val="1"/>
          <w:bCs w:val="1"/>
          <w:color w:val="auto"/>
        </w:rPr>
      </w:pPr>
    </w:p>
    <w:p>
      <w:pPr>
        <w:ind w:left="720" w:hanging="256"/>
        <w:spacing w:after="0"/>
        <w:tabs>
          <w:tab w:leader="none" w:pos="72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ESPONSIBILITY FOR</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AXES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60" w:firstLine="921"/>
        <w:spacing w:after="0" w:line="276" w:lineRule="auto"/>
        <w:tabs>
          <w:tab w:leader="none" w:pos="1168" w:val="left"/>
        </w:tabs>
        <w:numPr>
          <w:ilvl w:val="1"/>
          <w:numId w:val="319"/>
        </w:numPr>
        <w:rPr>
          <w:rFonts w:ascii="Arial" w:cs="Arial" w:eastAsia="Arial" w:hAnsi="Arial"/>
          <w:sz w:val="17"/>
          <w:szCs w:val="17"/>
          <w:b w:val="1"/>
          <w:bCs w:val="1"/>
          <w:color w:val="auto"/>
        </w:rPr>
      </w:pPr>
      <w:r>
        <w:rPr>
          <w:rFonts w:ascii="Arial" w:cs="Arial" w:eastAsia="Arial" w:hAnsi="Arial"/>
          <w:sz w:val="17"/>
          <w:szCs w:val="17"/>
          <w:color w:val="auto"/>
        </w:rPr>
        <w:t>You acknowledge that, regardless of any action the Company or, if different, your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income tax, social insurance, payroll tax, fringe benefit tax, payment on account or other tax related items related to your participation in the Plan and legally applicable to you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the ultimate liability for all Tax-Related Items is and remains your responsibility and may exceed the amount actually withheld by the Company or the Employer, if any. You further acknowledge that the Company and the Employer (i) make no representations or undertakings regarding the treatment of any Tax-Related Items in connection with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30" w:name="page331"/>
    <w:bookmarkEnd w:id="330"/>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aspect of your option, including, but not limited to, the grant, vesting or exercise of your option, the subsequent sale of shares of Common Stock acquired pursuant to such exercise and the issuance of any dividends; and (ii) do not commit to and are under no obligation to structure the terms of the grant or any aspect of your option to reduce or eliminate your liability for Tax-Related Items or achieve any particular tax result. You acknowledge and agree that you will not make any claim against the Company, or any of its Officers, Directors, Employees or Affiliates for Tax-Related Items arising from your option.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Further, if you are subject to Tax-Related Items in more than one jurisdiction, you acknowledge that the Company and/or the Employer may be required to withhold or account for Tax-Related Items in more than one jurisdiction.</w:t>
      </w:r>
    </w:p>
    <w:p>
      <w:pPr>
        <w:spacing w:after="0" w:line="71" w:lineRule="exact"/>
        <w:rPr>
          <w:sz w:val="20"/>
          <w:szCs w:val="20"/>
          <w:color w:val="auto"/>
        </w:rPr>
      </w:pPr>
    </w:p>
    <w:p>
      <w:pPr>
        <w:ind w:right="120" w:firstLine="921"/>
        <w:spacing w:after="0" w:line="255" w:lineRule="auto"/>
        <w:tabs>
          <w:tab w:leader="none" w:pos="1178" w:val="left"/>
        </w:tabs>
        <w:numPr>
          <w:ilvl w:val="1"/>
          <w:numId w:val="320"/>
        </w:numPr>
        <w:rPr>
          <w:rFonts w:ascii="Arial" w:cs="Arial" w:eastAsia="Arial" w:hAnsi="Arial"/>
          <w:sz w:val="18"/>
          <w:szCs w:val="18"/>
          <w:b w:val="1"/>
          <w:bCs w:val="1"/>
          <w:color w:val="auto"/>
        </w:rPr>
      </w:pPr>
      <w:r>
        <w:rPr>
          <w:rFonts w:ascii="Arial" w:cs="Arial" w:eastAsia="Arial" w:hAnsi="Arial"/>
          <w:sz w:val="18"/>
          <w:szCs w:val="18"/>
          <w:color w:val="auto"/>
        </w:rPr>
        <w:t>Prior to the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their withholding obligations with regard to all Tax-Related Items by: (i) withholding from your wages or other cash compensation paid to you by the Company and/or the Employer, (ii) withholding from the proceeds of the sale of shares of Common Stock acquired at exercise of your option and sold either through a voluntary sale or through a mandatory sale arranged by the Company (on your behalf pursuant to this authorization without further consent); and/or (iii) if this option is a Nonstatutory Stock Option, withholding a number of shares of Common Stock that are otherwise deliverable to you upon exercise.</w:t>
      </w:r>
    </w:p>
    <w:p>
      <w:pPr>
        <w:spacing w:after="0" w:line="81" w:lineRule="exact"/>
        <w:rPr>
          <w:rFonts w:ascii="Arial" w:cs="Arial" w:eastAsia="Arial" w:hAnsi="Arial"/>
          <w:sz w:val="18"/>
          <w:szCs w:val="18"/>
          <w:b w:val="1"/>
          <w:bCs w:val="1"/>
          <w:color w:val="auto"/>
        </w:rPr>
      </w:pPr>
    </w:p>
    <w:p>
      <w:pPr>
        <w:ind w:firstLine="921"/>
        <w:spacing w:after="0" w:line="297" w:lineRule="auto"/>
        <w:tabs>
          <w:tab w:leader="none" w:pos="1157" w:val="left"/>
        </w:tabs>
        <w:numPr>
          <w:ilvl w:val="1"/>
          <w:numId w:val="320"/>
        </w:numPr>
        <w:rPr>
          <w:rFonts w:ascii="Arial" w:cs="Arial" w:eastAsia="Arial" w:hAnsi="Arial"/>
          <w:sz w:val="16"/>
          <w:szCs w:val="16"/>
          <w:b w:val="1"/>
          <w:bCs w:val="1"/>
          <w:color w:val="auto"/>
        </w:rPr>
      </w:pPr>
      <w:r>
        <w:rPr>
          <w:rFonts w:ascii="Arial" w:cs="Arial" w:eastAsia="Arial" w:hAnsi="Arial"/>
          <w:sz w:val="16"/>
          <w:szCs w:val="16"/>
          <w:color w:val="auto"/>
        </w:rPr>
        <w:t>Depending on the withholding method, the Company or the Employer may withhold or account for Tax-Related Items by considering applicable minimum statutory withholding amounts or other applicable withholding rates, including maximum applicable rates, in which case you may receive a refund of any over-withheld amount in cash and will have no entitlement to the Common Stock equivalent. If the obligation for Tax-Related Items is satisfied by withholding a number of shares of Common Stock, for tax purposes, you are deemed to have been issued the full number of shares of Common Stock, notwithstanding that a number of the shares of Common Stock is held back solely for the purpose of paying the Tax-Related Items.</w:t>
      </w:r>
    </w:p>
    <w:p>
      <w:pPr>
        <w:spacing w:after="0" w:line="50" w:lineRule="exact"/>
        <w:rPr>
          <w:rFonts w:ascii="Arial" w:cs="Arial" w:eastAsia="Arial" w:hAnsi="Arial"/>
          <w:sz w:val="16"/>
          <w:szCs w:val="16"/>
          <w:b w:val="1"/>
          <w:bCs w:val="1"/>
          <w:color w:val="auto"/>
        </w:rPr>
      </w:pPr>
    </w:p>
    <w:p>
      <w:pPr>
        <w:jc w:val="both"/>
        <w:ind w:right="200" w:firstLine="921"/>
        <w:spacing w:after="0" w:line="279" w:lineRule="auto"/>
        <w:tabs>
          <w:tab w:leader="none" w:pos="1178" w:val="left"/>
        </w:tabs>
        <w:numPr>
          <w:ilvl w:val="1"/>
          <w:numId w:val="320"/>
        </w:numPr>
        <w:rPr>
          <w:rFonts w:ascii="Arial" w:cs="Arial" w:eastAsia="Arial" w:hAnsi="Arial"/>
          <w:sz w:val="17"/>
          <w:szCs w:val="17"/>
          <w:b w:val="1"/>
          <w:bCs w:val="1"/>
          <w:color w:val="auto"/>
        </w:rPr>
      </w:pPr>
      <w:r>
        <w:rPr>
          <w:rFonts w:ascii="Arial" w:cs="Arial" w:eastAsia="Arial" w:hAnsi="Arial"/>
          <w:sz w:val="17"/>
          <w:szCs w:val="17"/>
          <w:color w:val="auto"/>
        </w:rPr>
        <w:t>You agree to pay to the Company or the Employer any amount of Tax-Related Items that the Company or the Employer may be required to withhold or account for as a result of your participation in the Plan that cannot be satisfied by the means previously described. You acknowledge and agree that the Company may refuse to honor the exercise and refuse to issue or deliver the shares of Common Stock, or the proceeds of the sale of the shares of Common Stock, if you fail to comply with your obligations in connection with the Tax-Related Items.</w:t>
      </w:r>
    </w:p>
    <w:p>
      <w:pPr>
        <w:spacing w:after="0" w:line="59" w:lineRule="exact"/>
        <w:rPr>
          <w:rFonts w:ascii="Arial" w:cs="Arial" w:eastAsia="Arial" w:hAnsi="Arial"/>
          <w:sz w:val="17"/>
          <w:szCs w:val="17"/>
          <w:b w:val="1"/>
          <w:bCs w:val="1"/>
          <w:color w:val="auto"/>
        </w:rPr>
      </w:pPr>
    </w:p>
    <w:p>
      <w:pPr>
        <w:ind w:left="740" w:hanging="276"/>
        <w:spacing w:after="0"/>
        <w:tabs>
          <w:tab w:leader="none" w:pos="74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ATURE OF</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RANT</w:t>
      </w:r>
      <w:r>
        <w:rPr>
          <w:rFonts w:ascii="Arial" w:cs="Arial" w:eastAsia="Arial" w:hAnsi="Arial"/>
          <w:sz w:val="18"/>
          <w:szCs w:val="18"/>
          <w:color w:val="auto"/>
        </w:rPr>
        <w:t>. In accepting your option, you acknowledge, understand and agree that:</w:t>
      </w:r>
    </w:p>
    <w:p>
      <w:pPr>
        <w:spacing w:after="0" w:line="121" w:lineRule="exact"/>
        <w:rPr>
          <w:rFonts w:ascii="Arial" w:cs="Arial" w:eastAsia="Arial" w:hAnsi="Arial"/>
          <w:sz w:val="18"/>
          <w:szCs w:val="18"/>
          <w:b w:val="1"/>
          <w:bCs w:val="1"/>
          <w:color w:val="auto"/>
        </w:rPr>
      </w:pPr>
    </w:p>
    <w:p>
      <w:pPr>
        <w:ind w:right="20" w:firstLine="921"/>
        <w:spacing w:after="0" w:line="277" w:lineRule="auto"/>
        <w:tabs>
          <w:tab w:leader="none" w:pos="1168" w:val="left"/>
        </w:tabs>
        <w:numPr>
          <w:ilvl w:val="1"/>
          <w:numId w:val="321"/>
        </w:numPr>
        <w:rPr>
          <w:rFonts w:ascii="Arial" w:cs="Arial" w:eastAsia="Arial" w:hAnsi="Arial"/>
          <w:sz w:val="18"/>
          <w:szCs w:val="18"/>
          <w:b w:val="1"/>
          <w:bCs w:val="1"/>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under the Plan;</w:t>
      </w:r>
    </w:p>
    <w:p>
      <w:pPr>
        <w:spacing w:after="0" w:line="62" w:lineRule="exact"/>
        <w:rPr>
          <w:rFonts w:ascii="Arial" w:cs="Arial" w:eastAsia="Arial" w:hAnsi="Arial"/>
          <w:sz w:val="18"/>
          <w:szCs w:val="18"/>
          <w:b w:val="1"/>
          <w:bCs w:val="1"/>
          <w:color w:val="auto"/>
        </w:rPr>
      </w:pPr>
    </w:p>
    <w:p>
      <w:pPr>
        <w:ind w:right="160" w:firstLine="921"/>
        <w:spacing w:after="0" w:line="277" w:lineRule="auto"/>
        <w:tabs>
          <w:tab w:leader="none" w:pos="1178" w:val="left"/>
        </w:tabs>
        <w:numPr>
          <w:ilvl w:val="1"/>
          <w:numId w:val="321"/>
        </w:numPr>
        <w:rPr>
          <w:rFonts w:ascii="Arial" w:cs="Arial" w:eastAsia="Arial" w:hAnsi="Arial"/>
          <w:sz w:val="18"/>
          <w:szCs w:val="18"/>
          <w:b w:val="1"/>
          <w:bCs w:val="1"/>
          <w:color w:val="auto"/>
        </w:rPr>
      </w:pPr>
      <w:r>
        <w:rPr>
          <w:rFonts w:ascii="Arial" w:cs="Arial" w:eastAsia="Arial" w:hAnsi="Arial"/>
          <w:sz w:val="18"/>
          <w:szCs w:val="18"/>
          <w:color w:val="auto"/>
        </w:rPr>
        <w:t>the grant of this option is exceptional, voluntary and occasional and does not create any contractual or other right to receive future grants of options (whether on the same or different terms), or benefits in lieu of options, even if options have been granted in the past;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31" w:name="page332"/>
    <w:bookmarkEnd w:id="331"/>
    <w:p>
      <w:pPr>
        <w:ind w:left="1140" w:hanging="239"/>
        <w:spacing w:after="0"/>
        <w:tabs>
          <w:tab w:leader="none" w:pos="1140"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decisions with respect to future options or other grants, if any, will be at the sole discretion of the Company;</w:t>
      </w:r>
    </w:p>
    <w:p>
      <w:pPr>
        <w:spacing w:after="0" w:line="117" w:lineRule="exact"/>
        <w:rPr>
          <w:rFonts w:ascii="Arial" w:cs="Arial" w:eastAsia="Arial" w:hAnsi="Arial"/>
          <w:sz w:val="18"/>
          <w:szCs w:val="18"/>
          <w:b w:val="1"/>
          <w:bCs w:val="1"/>
          <w:color w:val="auto"/>
        </w:rPr>
      </w:pPr>
    </w:p>
    <w:p>
      <w:pPr>
        <w:ind w:left="1160" w:hanging="259"/>
        <w:spacing w:after="0"/>
        <w:tabs>
          <w:tab w:leader="none" w:pos="1160"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you are voluntarily participating in the Plan;</w:t>
      </w:r>
    </w:p>
    <w:p>
      <w:pPr>
        <w:spacing w:after="0" w:line="117" w:lineRule="exact"/>
        <w:rPr>
          <w:rFonts w:ascii="Arial" w:cs="Arial" w:eastAsia="Arial" w:hAnsi="Arial"/>
          <w:sz w:val="18"/>
          <w:szCs w:val="18"/>
          <w:b w:val="1"/>
          <w:bCs w:val="1"/>
          <w:color w:val="auto"/>
        </w:rPr>
      </w:pPr>
    </w:p>
    <w:p>
      <w:pPr>
        <w:ind w:left="-20" w:right="60" w:firstLine="921"/>
        <w:spacing w:after="0" w:line="277" w:lineRule="auto"/>
        <w:tabs>
          <w:tab w:leader="none" w:pos="1137"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this option and the shares of Common Stock subject to this option, and the income and value of same, are not intended to replace any pension rights or compensation;</w:t>
      </w:r>
    </w:p>
    <w:p>
      <w:pPr>
        <w:spacing w:after="0" w:line="62" w:lineRule="exact"/>
        <w:rPr>
          <w:rFonts w:ascii="Arial" w:cs="Arial" w:eastAsia="Arial" w:hAnsi="Arial"/>
          <w:sz w:val="18"/>
          <w:szCs w:val="18"/>
          <w:b w:val="1"/>
          <w:bCs w:val="1"/>
          <w:color w:val="auto"/>
        </w:rPr>
      </w:pPr>
    </w:p>
    <w:p>
      <w:pPr>
        <w:ind w:left="1120" w:hanging="219"/>
        <w:spacing w:after="0"/>
        <w:tabs>
          <w:tab w:leader="none" w:pos="1120" w:val="left"/>
        </w:tabs>
        <w:numPr>
          <w:ilvl w:val="1"/>
          <w:numId w:val="322"/>
        </w:numPr>
        <w:rPr>
          <w:rFonts w:ascii="Arial" w:cs="Arial" w:eastAsia="Arial" w:hAnsi="Arial"/>
          <w:sz w:val="16"/>
          <w:szCs w:val="16"/>
          <w:b w:val="1"/>
          <w:bCs w:val="1"/>
          <w:color w:val="auto"/>
        </w:rPr>
      </w:pPr>
      <w:r>
        <w:rPr>
          <w:rFonts w:ascii="Arial" w:cs="Arial" w:eastAsia="Arial" w:hAnsi="Arial"/>
          <w:sz w:val="16"/>
          <w:szCs w:val="16"/>
          <w:color w:val="auto"/>
        </w:rPr>
        <w:t>the future value of the shares of Common Stock underlying the option is unknown, indeterminable, and cannot be predicted with certainty;</w:t>
      </w:r>
    </w:p>
    <w:p>
      <w:pPr>
        <w:spacing w:after="0" w:line="140" w:lineRule="exact"/>
        <w:rPr>
          <w:rFonts w:ascii="Arial" w:cs="Arial" w:eastAsia="Arial" w:hAnsi="Arial"/>
          <w:sz w:val="16"/>
          <w:szCs w:val="16"/>
          <w:b w:val="1"/>
          <w:bCs w:val="1"/>
          <w:color w:val="auto"/>
        </w:rPr>
      </w:pPr>
    </w:p>
    <w:p>
      <w:pPr>
        <w:ind w:left="1160" w:hanging="259"/>
        <w:spacing w:after="0"/>
        <w:tabs>
          <w:tab w:leader="none" w:pos="1160"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if the underlying shares of Common Stock do not increase in value, the option will have no value;</w:t>
      </w:r>
    </w:p>
    <w:p>
      <w:pPr>
        <w:spacing w:after="0" w:line="117" w:lineRule="exact"/>
        <w:rPr>
          <w:rFonts w:ascii="Arial" w:cs="Arial" w:eastAsia="Arial" w:hAnsi="Arial"/>
          <w:sz w:val="18"/>
          <w:szCs w:val="18"/>
          <w:b w:val="1"/>
          <w:bCs w:val="1"/>
          <w:color w:val="auto"/>
        </w:rPr>
      </w:pPr>
    </w:p>
    <w:p>
      <w:pPr>
        <w:ind w:left="-20" w:right="460" w:firstLine="921"/>
        <w:spacing w:after="0" w:line="277" w:lineRule="auto"/>
        <w:tabs>
          <w:tab w:leader="none" w:pos="1158"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if you exercise the option and acquire shares of Common Stock, the value of such shares of Common Stock may increase or decrease in value, even below the exercise price</w:t>
      </w:r>
    </w:p>
    <w:p>
      <w:pPr>
        <w:spacing w:after="0" w:line="62" w:lineRule="exact"/>
        <w:rPr>
          <w:rFonts w:ascii="Arial" w:cs="Arial" w:eastAsia="Arial" w:hAnsi="Arial"/>
          <w:sz w:val="18"/>
          <w:szCs w:val="18"/>
          <w:b w:val="1"/>
          <w:bCs w:val="1"/>
          <w:color w:val="auto"/>
        </w:rPr>
      </w:pPr>
    </w:p>
    <w:p>
      <w:pPr>
        <w:ind w:left="-20" w:right="300" w:firstLine="921"/>
        <w:spacing w:after="0" w:line="259" w:lineRule="auto"/>
        <w:tabs>
          <w:tab w:leader="none" w:pos="1108"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no claim or entitlement to compensation or damages shall arise from forfeiture of this option resulting from the termination of your Continuous Service (for any reason whatsoever, whether or not later found to be invalid or in breach of employment laws in the jurisdiction where you are employed or rendering services or the terms of your employment or service agreement, if any), and in consideration of the grant of this option, you irrevocably agree not to institute any claim against the Company or any Affiliate,</w:t>
      </w:r>
    </w:p>
    <w:p>
      <w:pPr>
        <w:spacing w:after="0" w:line="78" w:lineRule="exact"/>
        <w:rPr>
          <w:rFonts w:ascii="Arial" w:cs="Arial" w:eastAsia="Arial" w:hAnsi="Arial"/>
          <w:sz w:val="18"/>
          <w:szCs w:val="18"/>
          <w:b w:val="1"/>
          <w:bCs w:val="1"/>
          <w:color w:val="auto"/>
        </w:rPr>
      </w:pPr>
    </w:p>
    <w:p>
      <w:pPr>
        <w:ind w:left="-20" w:right="160" w:firstLine="921"/>
        <w:spacing w:after="0" w:line="264" w:lineRule="auto"/>
        <w:tabs>
          <w:tab w:leader="none" w:pos="1118" w:val="left"/>
        </w:tabs>
        <w:numPr>
          <w:ilvl w:val="1"/>
          <w:numId w:val="322"/>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of Common Stock; and</w:t>
      </w:r>
    </w:p>
    <w:p>
      <w:pPr>
        <w:spacing w:after="0" w:line="73" w:lineRule="exact"/>
        <w:rPr>
          <w:rFonts w:ascii="Arial" w:cs="Arial" w:eastAsia="Arial" w:hAnsi="Arial"/>
          <w:sz w:val="18"/>
          <w:szCs w:val="18"/>
          <w:b w:val="1"/>
          <w:bCs w:val="1"/>
          <w:color w:val="auto"/>
        </w:rPr>
      </w:pPr>
    </w:p>
    <w:p>
      <w:pPr>
        <w:ind w:left="-20" w:right="140" w:firstLine="921"/>
        <w:spacing w:after="0" w:line="308" w:lineRule="auto"/>
        <w:tabs>
          <w:tab w:leader="none" w:pos="1158" w:val="left"/>
        </w:tabs>
        <w:numPr>
          <w:ilvl w:val="1"/>
          <w:numId w:val="322"/>
        </w:numPr>
        <w:rPr>
          <w:rFonts w:ascii="Arial" w:cs="Arial" w:eastAsia="Arial" w:hAnsi="Arial"/>
          <w:sz w:val="17"/>
          <w:szCs w:val="17"/>
          <w:b w:val="1"/>
          <w:bCs w:val="1"/>
          <w:color w:val="auto"/>
        </w:rPr>
      </w:pPr>
      <w:r>
        <w:rPr>
          <w:rFonts w:ascii="Arial" w:cs="Arial" w:eastAsia="Arial" w:hAnsi="Arial"/>
          <w:sz w:val="17"/>
          <w:szCs w:val="17"/>
          <w:color w:val="auto"/>
        </w:rPr>
        <w:t>unless otherwise agreed with the Company, this option and any shares of Common Stock acquired under the Plan, and the income and value of same, are not granted as consideration for, or in connection with, the service you may provide as a director of an Affiliate.</w:t>
      </w:r>
    </w:p>
    <w:p>
      <w:pPr>
        <w:spacing w:after="0" w:line="34" w:lineRule="exact"/>
        <w:rPr>
          <w:rFonts w:ascii="Arial" w:cs="Arial" w:eastAsia="Arial" w:hAnsi="Arial"/>
          <w:sz w:val="17"/>
          <w:szCs w:val="17"/>
          <w:b w:val="1"/>
          <w:bCs w:val="1"/>
          <w:color w:val="auto"/>
        </w:rPr>
      </w:pPr>
    </w:p>
    <w:p>
      <w:pPr>
        <w:ind w:left="-20" w:right="180" w:firstLine="464"/>
        <w:spacing w:after="0" w:line="314" w:lineRule="auto"/>
        <w:tabs>
          <w:tab w:leader="none" w:pos="706" w:val="left"/>
        </w:tabs>
        <w:numPr>
          <w:ilvl w:val="0"/>
          <w:numId w:val="323"/>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DVICE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EGARDING</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RANT</w:t>
      </w:r>
      <w:r>
        <w:rPr>
          <w:rFonts w:ascii="Arial" w:cs="Arial" w:eastAsia="Arial" w:hAnsi="Arial"/>
          <w:sz w:val="16"/>
          <w:szCs w:val="16"/>
          <w:color w:val="auto"/>
        </w:rPr>
        <w:t>. The Company is not providing any tax, legal or financial advice, nor is the Company making any</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regarding your participation in the Plan, or your acquisition or sale of the underlying shares of Common Stock. You are hereby advised to consult with your own personal tax, legal and financial advisors regarding your participation in the Plan before taking any action related to the Plan.</w:t>
      </w:r>
    </w:p>
    <w:p>
      <w:pPr>
        <w:spacing w:after="0" w:line="34" w:lineRule="exact"/>
        <w:rPr>
          <w:rFonts w:ascii="Arial" w:cs="Arial" w:eastAsia="Arial" w:hAnsi="Arial"/>
          <w:sz w:val="16"/>
          <w:szCs w:val="16"/>
          <w:b w:val="1"/>
          <w:bCs w:val="1"/>
          <w:color w:val="auto"/>
        </w:rPr>
      </w:pPr>
    </w:p>
    <w:p>
      <w:pPr>
        <w:ind w:left="-20" w:firstLine="464"/>
        <w:spacing w:after="0" w:line="266" w:lineRule="auto"/>
        <w:tabs>
          <w:tab w:leader="none" w:pos="706"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IGHT OF</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EPURCHASE</w:t>
      </w:r>
      <w:r>
        <w:rPr>
          <w:rFonts w:ascii="Arial" w:cs="Arial" w:eastAsia="Arial" w:hAnsi="Arial"/>
          <w:sz w:val="18"/>
          <w:szCs w:val="18"/>
          <w:color w:val="auto"/>
        </w:rPr>
        <w:t>. The Company will have the right to repurchase all of the shares of Common Stock you acquire pursuant to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your option upon termination of your Continuous Service for Cause. Such repurchase will be at the exercise price you paid to acquire the shares and will be effected pursuant to such other terms and conditions, and at such time, as the Company will determine.</w:t>
      </w:r>
    </w:p>
    <w:p>
      <w:pPr>
        <w:spacing w:after="0" w:line="68" w:lineRule="exact"/>
        <w:rPr>
          <w:rFonts w:ascii="Arial" w:cs="Arial" w:eastAsia="Arial" w:hAnsi="Arial"/>
          <w:sz w:val="18"/>
          <w:szCs w:val="18"/>
          <w:b w:val="1"/>
          <w:bCs w:val="1"/>
          <w:color w:val="auto"/>
        </w:rPr>
      </w:pPr>
    </w:p>
    <w:p>
      <w:pPr>
        <w:jc w:val="both"/>
        <w:ind w:left="-20" w:right="120" w:firstLine="464"/>
        <w:spacing w:after="0" w:line="261" w:lineRule="auto"/>
        <w:tabs>
          <w:tab w:leader="none" w:pos="706"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 NOT 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ONTRACT</w:t>
      </w:r>
      <w:r>
        <w:rPr>
          <w:rFonts w:ascii="Arial" w:cs="Arial" w:eastAsia="Arial" w:hAnsi="Arial"/>
          <w:sz w:val="18"/>
          <w:szCs w:val="18"/>
          <w:color w:val="auto"/>
        </w:rPr>
        <w:t>. Your option is not an employment or service contract, and nothing in your option will be deemed to create</w:t>
      </w:r>
      <w:r>
        <w:rPr>
          <w:rFonts w:ascii="Arial" w:cs="Arial" w:eastAsia="Arial" w:hAnsi="Arial"/>
          <w:sz w:val="18"/>
          <w:szCs w:val="18"/>
          <w:b w:val="1"/>
          <w:bCs w:val="1"/>
          <w:color w:val="auto"/>
        </w:rPr>
        <w:t xml:space="preserve"> </w:t>
      </w:r>
      <w:r>
        <w:rPr>
          <w:rFonts w:ascii="Arial" w:cs="Arial" w:eastAsia="Arial" w:hAnsi="Arial"/>
          <w:sz w:val="18"/>
          <w:szCs w:val="18"/>
          <w:color w:val="auto"/>
        </w:rPr>
        <w:t>in any way whatsoever any obligation on your part to continue in the employ of the Employer, or of the Employer to continue your employment. In addition, nothing in your option will obligate the Company or an Affiliate, their respective stockholders, boards of directors, officers or employees to continue any relationship that you might have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4" w:right="239" w:bottom="1440" w:gutter="0" w:footer="0" w:header="0"/>
        </w:sectPr>
      </w:pPr>
    </w:p>
    <w:bookmarkStart w:id="332" w:name="page333"/>
    <w:bookmarkEnd w:id="332"/>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Director or Consultant for the Company or an Affiliate. Finally, the grant of the option shall not be interpreted as forming an employment or service contract with the Company.</w:t>
      </w:r>
    </w:p>
    <w:p>
      <w:pPr>
        <w:spacing w:after="0" w:line="58" w:lineRule="exact"/>
        <w:rPr>
          <w:sz w:val="20"/>
          <w:szCs w:val="20"/>
          <w:color w:val="auto"/>
        </w:rPr>
      </w:pPr>
    </w:p>
    <w:p>
      <w:pPr>
        <w:ind w:right="180" w:firstLine="464"/>
        <w:spacing w:after="0" w:line="274" w:lineRule="auto"/>
        <w:tabs>
          <w:tab w:leader="none" w:pos="726" w:val="left"/>
        </w:tabs>
        <w:numPr>
          <w:ilvl w:val="1"/>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OTICES</w:t>
      </w:r>
      <w:r>
        <w:rPr>
          <w:rFonts w:ascii="Arial" w:cs="Arial" w:eastAsia="Arial" w:hAnsi="Arial"/>
          <w:sz w:val="17"/>
          <w:szCs w:val="17"/>
          <w:color w:val="auto"/>
        </w:rPr>
        <w:t>. Any notices provided for in your option or the Plan will be given in writing (including electronically) and will be deemed effectively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 third party designated by the Company.</w:t>
      </w:r>
    </w:p>
    <w:p>
      <w:pPr>
        <w:spacing w:after="0" w:line="65" w:lineRule="exact"/>
        <w:rPr>
          <w:rFonts w:ascii="Arial" w:cs="Arial" w:eastAsia="Arial" w:hAnsi="Arial"/>
          <w:sz w:val="17"/>
          <w:szCs w:val="17"/>
          <w:b w:val="1"/>
          <w:bCs w:val="1"/>
          <w:color w:val="auto"/>
        </w:rPr>
      </w:pPr>
    </w:p>
    <w:p>
      <w:pPr>
        <w:ind w:firstLine="464"/>
        <w:spacing w:after="0" w:line="255" w:lineRule="auto"/>
        <w:tabs>
          <w:tab w:leader="none" w:pos="726" w:val="left"/>
        </w:tabs>
        <w:numPr>
          <w:ilvl w:val="1"/>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OCUMENT</w:t>
      </w:r>
      <w:r>
        <w:rPr>
          <w:rFonts w:ascii="Arial" w:cs="Arial" w:eastAsia="Arial" w:hAnsi="Arial"/>
          <w:sz w:val="18"/>
          <w:szCs w:val="18"/>
          <w:color w:val="auto"/>
        </w:rPr>
        <w:t>. Your option is subject to all the provisions of the Plan, the provisions of which are hereby made a part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U.S.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77" w:lineRule="exact"/>
        <w:rPr>
          <w:rFonts w:ascii="Arial" w:cs="Arial" w:eastAsia="Arial" w:hAnsi="Arial"/>
          <w:sz w:val="18"/>
          <w:szCs w:val="18"/>
          <w:b w:val="1"/>
          <w:bCs w:val="1"/>
          <w:color w:val="auto"/>
        </w:rPr>
      </w:pPr>
    </w:p>
    <w:p>
      <w:pPr>
        <w:ind w:left="740" w:hanging="276"/>
        <w:spacing w:after="0"/>
        <w:tabs>
          <w:tab w:leader="none" w:pos="740" w:val="left"/>
        </w:tabs>
        <w:numPr>
          <w:ilvl w:val="1"/>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3"/>
          <w:szCs w:val="13"/>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16"/>
          <w:szCs w:val="16"/>
          <w:color w:val="auto"/>
        </w:rPr>
        <w:t>. You hereby acknowledge receipt of and the right to receive a document providing the information required by Rule 428(b)</w:t>
      </w:r>
    </w:p>
    <w:p>
      <w:pPr>
        <w:spacing w:after="0" w:line="50" w:lineRule="exact"/>
        <w:rPr>
          <w:rFonts w:ascii="Arial" w:cs="Arial" w:eastAsia="Arial" w:hAnsi="Arial"/>
          <w:sz w:val="16"/>
          <w:szCs w:val="16"/>
          <w:b w:val="1"/>
          <w:bCs w:val="1"/>
          <w:color w:val="auto"/>
        </w:rPr>
      </w:pPr>
    </w:p>
    <w:p>
      <w:pPr>
        <w:ind w:right="420" w:firstLine="8"/>
        <w:spacing w:after="0" w:line="323" w:lineRule="auto"/>
        <w:tabs>
          <w:tab w:leader="none" w:pos="25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26" w:lineRule="exact"/>
        <w:rPr>
          <w:rFonts w:ascii="Arial" w:cs="Arial" w:eastAsia="Arial" w:hAnsi="Arial"/>
          <w:sz w:val="16"/>
          <w:szCs w:val="16"/>
          <w:color w:val="auto"/>
        </w:rPr>
      </w:pPr>
    </w:p>
    <w:p>
      <w:pPr>
        <w:ind w:right="100" w:firstLine="464"/>
        <w:spacing w:after="0" w:line="261" w:lineRule="auto"/>
        <w:tabs>
          <w:tab w:leader="none" w:pos="726" w:val="left"/>
        </w:tabs>
        <w:numPr>
          <w:ilvl w:val="1"/>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 You will not have voting or any other rights as a shareholder of the Company with respect to the shares to be issued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until such shares are issued to you. Upon such issuance, you will obtain full voting and other rights as a shareholder of the Company. Nothing contained in this option, and no action taken pursuant to its provisions, will create or be construed to create a trust of any kind or a fiduciary relationship between you and the Company or any other person.</w:t>
      </w:r>
    </w:p>
    <w:p>
      <w:pPr>
        <w:spacing w:after="0" w:line="71" w:lineRule="exact"/>
        <w:rPr>
          <w:rFonts w:ascii="Arial" w:cs="Arial" w:eastAsia="Arial" w:hAnsi="Arial"/>
          <w:sz w:val="18"/>
          <w:szCs w:val="18"/>
          <w:b w:val="1"/>
          <w:bCs w:val="1"/>
          <w:color w:val="auto"/>
        </w:rPr>
      </w:pPr>
    </w:p>
    <w:p>
      <w:pPr>
        <w:ind w:right="20" w:firstLine="464"/>
        <w:spacing w:after="0" w:line="261" w:lineRule="auto"/>
        <w:tabs>
          <w:tab w:leader="none" w:pos="726" w:val="left"/>
        </w:tabs>
        <w:numPr>
          <w:ilvl w:val="1"/>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EVERABILITY</w:t>
      </w:r>
      <w:r>
        <w:rPr>
          <w:rFonts w:ascii="Arial" w:cs="Arial" w:eastAsia="Arial" w:hAnsi="Arial"/>
          <w:sz w:val="18"/>
          <w:szCs w:val="18"/>
          <w:color w:val="auto"/>
        </w:rPr>
        <w:t>. If all or any part of this Agreement or the Plan is declared by any court or governmental authority to be unlawful or invalid, such</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unlawfulness or invalidity will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71" w:lineRule="exact"/>
        <w:rPr>
          <w:rFonts w:ascii="Arial" w:cs="Arial" w:eastAsia="Arial" w:hAnsi="Arial"/>
          <w:sz w:val="18"/>
          <w:szCs w:val="18"/>
          <w:b w:val="1"/>
          <w:bCs w:val="1"/>
          <w:color w:val="auto"/>
        </w:rPr>
      </w:pPr>
    </w:p>
    <w:p>
      <w:pPr>
        <w:ind w:right="40" w:firstLine="464"/>
        <w:spacing w:after="0" w:line="303" w:lineRule="auto"/>
        <w:tabs>
          <w:tab w:leader="none" w:pos="726" w:val="left"/>
        </w:tabs>
        <w:numPr>
          <w:ilvl w:val="1"/>
          <w:numId w:val="325"/>
        </w:numPr>
        <w:rPr>
          <w:rFonts w:ascii="Arial" w:cs="Arial" w:eastAsia="Arial" w:hAnsi="Arial"/>
          <w:sz w:val="16"/>
          <w:szCs w:val="16"/>
          <w:b w:val="1"/>
          <w:bCs w:val="1"/>
          <w:color w:val="auto"/>
        </w:rPr>
      </w:pPr>
      <w:r>
        <w:rPr>
          <w:rFonts w:ascii="Arial" w:cs="Arial" w:eastAsia="Arial" w:hAnsi="Arial"/>
          <w:sz w:val="16"/>
          <w:szCs w:val="16"/>
          <w:b w:val="1"/>
          <w:bCs w:val="1"/>
          <w:color w:val="auto"/>
        </w:rPr>
        <w:t>I</w:t>
      </w:r>
      <w:r>
        <w:rPr>
          <w:rFonts w:ascii="Arial" w:cs="Arial" w:eastAsia="Arial" w:hAnsi="Arial"/>
          <w:sz w:val="13"/>
          <w:szCs w:val="13"/>
          <w:b w:val="1"/>
          <w:bCs w:val="1"/>
          <w:color w:val="auto"/>
        </w:rPr>
        <w:t>NSIDER</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ESTRICTIONS</w:t>
      </w:r>
      <w:r>
        <w:rPr>
          <w:rFonts w:ascii="Arial" w:cs="Arial" w:eastAsia="Arial" w:hAnsi="Arial"/>
          <w:sz w:val="16"/>
          <w:szCs w:val="16"/>
          <w:b w:val="1"/>
          <w:bCs w:val="1"/>
          <w:color w:val="auto"/>
        </w:rPr>
        <w:t>/M</w:t>
      </w:r>
      <w:r>
        <w:rPr>
          <w:rFonts w:ascii="Arial" w:cs="Arial" w:eastAsia="Arial" w:hAnsi="Arial"/>
          <w:sz w:val="13"/>
          <w:szCs w:val="13"/>
          <w:b w:val="1"/>
          <w:bCs w:val="1"/>
          <w:color w:val="auto"/>
        </w:rPr>
        <w:t>ARKET</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BUSE</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AWS</w:t>
      </w:r>
      <w:r>
        <w:rPr>
          <w:rFonts w:ascii="Arial" w:cs="Arial" w:eastAsia="Arial" w:hAnsi="Arial"/>
          <w:sz w:val="16"/>
          <w:szCs w:val="16"/>
          <w:color w:val="auto"/>
        </w:rPr>
        <w:t>. You acknowledge that you may be subject to insider trading restrictions and/or</w:t>
      </w:r>
      <w:r>
        <w:rPr>
          <w:rFonts w:ascii="Arial" w:cs="Arial" w:eastAsia="Arial" w:hAnsi="Arial"/>
          <w:sz w:val="16"/>
          <w:szCs w:val="16"/>
          <w:b w:val="1"/>
          <w:bCs w:val="1"/>
          <w:color w:val="auto"/>
        </w:rPr>
        <w:t xml:space="preserve"> </w:t>
      </w:r>
      <w:r>
        <w:rPr>
          <w:rFonts w:ascii="Arial" w:cs="Arial" w:eastAsia="Arial" w:hAnsi="Arial"/>
          <w:sz w:val="16"/>
          <w:szCs w:val="16"/>
          <w:color w:val="auto"/>
        </w:rPr>
        <w:t>market abuse laws, which may affect your ability to acquire or sell the shares of Common Stock or rights to the shares of Common Stock under the Plan during such times as you are considered to have “inside information” regarding the Company (as defined by the laws). Any restrictions under these laws or regulations are separate from and in addition to any restrictions that may be imposed under any applicable Company insider trading policy. You acknowledge</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3" w:right="27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it is your responsibility to comply with any applicable restrictions, and you are advised to speak to your personal advisor on this matter.</w:t>
      </w:r>
    </w:p>
    <w:p>
      <w:pPr>
        <w:spacing w:after="0" w:line="113" w:lineRule="exact"/>
        <w:rPr>
          <w:sz w:val="20"/>
          <w:szCs w:val="20"/>
          <w:color w:val="auto"/>
        </w:rPr>
      </w:pPr>
    </w:p>
    <w:p>
      <w:pPr>
        <w:ind w:right="60" w:firstLine="464"/>
        <w:spacing w:after="0" w:line="289" w:lineRule="auto"/>
        <w:tabs>
          <w:tab w:leader="none" w:pos="726"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MPOSITION OF</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EQUIREMENTS</w:t>
      </w:r>
      <w:r>
        <w:rPr>
          <w:rFonts w:ascii="Arial" w:cs="Arial" w:eastAsia="Arial" w:hAnsi="Arial"/>
          <w:sz w:val="17"/>
          <w:szCs w:val="17"/>
          <w:color w:val="auto"/>
        </w:rPr>
        <w:t>. The Company reserves the right to impose other requirements on your participation in the Plan, and on</w:t>
      </w:r>
      <w:r>
        <w:rPr>
          <w:rFonts w:ascii="Arial" w:cs="Arial" w:eastAsia="Arial" w:hAnsi="Arial"/>
          <w:sz w:val="17"/>
          <w:szCs w:val="17"/>
          <w:b w:val="1"/>
          <w:bCs w:val="1"/>
          <w:color w:val="auto"/>
        </w:rPr>
        <w:t xml:space="preserve"> </w:t>
      </w:r>
      <w:r>
        <w:rPr>
          <w:rFonts w:ascii="Arial" w:cs="Arial" w:eastAsia="Arial" w:hAnsi="Arial"/>
          <w:sz w:val="17"/>
          <w:szCs w:val="17"/>
          <w:color w:val="auto"/>
        </w:rPr>
        <w:t>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50" w:lineRule="exact"/>
        <w:rPr>
          <w:rFonts w:ascii="Arial" w:cs="Arial" w:eastAsia="Arial" w:hAnsi="Arial"/>
          <w:sz w:val="17"/>
          <w:szCs w:val="17"/>
          <w:b w:val="1"/>
          <w:bCs w:val="1"/>
          <w:color w:val="auto"/>
        </w:rPr>
      </w:pPr>
    </w:p>
    <w:p>
      <w:pPr>
        <w:ind w:right="80" w:firstLine="464"/>
        <w:spacing w:after="0" w:line="261" w:lineRule="auto"/>
        <w:tabs>
          <w:tab w:leader="none" w:pos="726"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/V</w:t>
      </w:r>
      <w:r>
        <w:rPr>
          <w:rFonts w:ascii="Arial" w:cs="Arial" w:eastAsia="Arial" w:hAnsi="Arial"/>
          <w:sz w:val="15"/>
          <w:szCs w:val="15"/>
          <w:b w:val="1"/>
          <w:bCs w:val="1"/>
          <w:color w:val="auto"/>
        </w:rPr>
        <w:t>ENUE</w:t>
      </w:r>
      <w:r>
        <w:rPr>
          <w:rFonts w:ascii="Arial" w:cs="Arial" w:eastAsia="Arial" w:hAnsi="Arial"/>
          <w:sz w:val="18"/>
          <w:szCs w:val="18"/>
          <w:color w:val="auto"/>
        </w:rPr>
        <w:t>. The interpretation, performance and enforcement of this Agreement will be governed by the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regard to that state’s conflicts of laws rules. For purposes of any action, lawsuit or other proceedings brought to enforce this Agreement, including its Exhibit, relating to it, or arising from it, the parties hereby submit to and consent to the sole and exclusive jurisdiction of the courts within Santa Clara County, State of California, and no other courts, where this grant is made and/or to be performed.</w:t>
      </w:r>
    </w:p>
    <w:p>
      <w:pPr>
        <w:spacing w:after="0" w:line="71" w:lineRule="exact"/>
        <w:rPr>
          <w:rFonts w:ascii="Arial" w:cs="Arial" w:eastAsia="Arial" w:hAnsi="Arial"/>
          <w:sz w:val="18"/>
          <w:szCs w:val="18"/>
          <w:b w:val="1"/>
          <w:bCs w:val="1"/>
          <w:color w:val="auto"/>
        </w:rPr>
      </w:pPr>
    </w:p>
    <w:p>
      <w:pPr>
        <w:ind w:left="740" w:hanging="276"/>
        <w:spacing w:after="0"/>
        <w:tabs>
          <w:tab w:leader="none" w:pos="74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260" w:firstLine="921"/>
        <w:spacing w:after="0" w:line="277" w:lineRule="auto"/>
        <w:tabs>
          <w:tab w:leader="none" w:pos="1168" w:val="left"/>
        </w:tabs>
        <w:numPr>
          <w:ilvl w:val="1"/>
          <w:numId w:val="326"/>
        </w:numPr>
        <w:rPr>
          <w:rFonts w:ascii="Arial" w:cs="Arial" w:eastAsia="Arial" w:hAnsi="Arial"/>
          <w:sz w:val="18"/>
          <w:szCs w:val="18"/>
          <w:b w:val="1"/>
          <w:bCs w:val="1"/>
          <w:color w:val="auto"/>
        </w:rPr>
      </w:pPr>
      <w:r>
        <w:rPr>
          <w:rFonts w:ascii="Arial" w:cs="Arial" w:eastAsia="Arial" w:hAnsi="Arial"/>
          <w:sz w:val="18"/>
          <w:szCs w:val="18"/>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62" w:lineRule="exact"/>
        <w:rPr>
          <w:rFonts w:ascii="Arial" w:cs="Arial" w:eastAsia="Arial" w:hAnsi="Arial"/>
          <w:sz w:val="18"/>
          <w:szCs w:val="18"/>
          <w:b w:val="1"/>
          <w:bCs w:val="1"/>
          <w:color w:val="auto"/>
        </w:rPr>
      </w:pPr>
    </w:p>
    <w:p>
      <w:pPr>
        <w:ind w:right="140" w:firstLine="921"/>
        <w:spacing w:after="0" w:line="277" w:lineRule="auto"/>
        <w:tabs>
          <w:tab w:leader="none" w:pos="1178" w:val="left"/>
        </w:tabs>
        <w:numPr>
          <w:ilvl w:val="1"/>
          <w:numId w:val="326"/>
        </w:numPr>
        <w:rPr>
          <w:rFonts w:ascii="Arial" w:cs="Arial" w:eastAsia="Arial" w:hAnsi="Arial"/>
          <w:sz w:val="18"/>
          <w:szCs w:val="18"/>
          <w:b w:val="1"/>
          <w:bCs w:val="1"/>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option.</w:t>
      </w:r>
    </w:p>
    <w:p>
      <w:pPr>
        <w:spacing w:after="0" w:line="62" w:lineRule="exact"/>
        <w:rPr>
          <w:rFonts w:ascii="Arial" w:cs="Arial" w:eastAsia="Arial" w:hAnsi="Arial"/>
          <w:sz w:val="18"/>
          <w:szCs w:val="18"/>
          <w:b w:val="1"/>
          <w:bCs w:val="1"/>
          <w:color w:val="auto"/>
        </w:rPr>
      </w:pPr>
    </w:p>
    <w:p>
      <w:pPr>
        <w:ind w:right="140" w:firstLine="921"/>
        <w:spacing w:after="0" w:line="277" w:lineRule="auto"/>
        <w:tabs>
          <w:tab w:leader="none" w:pos="1157" w:val="left"/>
        </w:tabs>
        <w:numPr>
          <w:ilvl w:val="1"/>
          <w:numId w:val="326"/>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62" w:lineRule="exact"/>
        <w:rPr>
          <w:rFonts w:ascii="Arial" w:cs="Arial" w:eastAsia="Arial" w:hAnsi="Arial"/>
          <w:sz w:val="18"/>
          <w:szCs w:val="18"/>
          <w:b w:val="1"/>
          <w:bCs w:val="1"/>
          <w:color w:val="auto"/>
        </w:rPr>
      </w:pPr>
    </w:p>
    <w:p>
      <w:pPr>
        <w:ind w:firstLine="921"/>
        <w:spacing w:after="0" w:line="264" w:lineRule="auto"/>
        <w:tabs>
          <w:tab w:leader="none" w:pos="1178" w:val="left"/>
        </w:tabs>
        <w:numPr>
          <w:ilvl w:val="1"/>
          <w:numId w:val="326"/>
        </w:numPr>
        <w:rPr>
          <w:rFonts w:ascii="Arial" w:cs="Arial" w:eastAsia="Arial" w:hAnsi="Arial"/>
          <w:sz w:val="18"/>
          <w:szCs w:val="18"/>
          <w:b w:val="1"/>
          <w:bCs w:val="1"/>
          <w:color w:val="auto"/>
        </w:rPr>
      </w:pPr>
      <w:r>
        <w:rPr>
          <w:rFonts w:ascii="Arial" w:cs="Arial" w:eastAsia="Arial" w:hAnsi="Arial"/>
          <w:sz w:val="18"/>
          <w:szCs w:val="18"/>
          <w:color w:val="auto"/>
        </w:rPr>
        <w:t>All obligations of the Company under the Plan and this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81" w:lineRule="exact"/>
        <w:rPr>
          <w:sz w:val="20"/>
          <w:szCs w:val="20"/>
          <w:color w:val="auto"/>
        </w:rPr>
      </w:pPr>
    </w:p>
    <w:p>
      <w:pPr>
        <w:ind w:left="4840"/>
        <w:spacing w:after="0"/>
        <w:tabs>
          <w:tab w:leader="none" w:pos="5620" w:val="left"/>
          <w:tab w:leader="none" w:pos="6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Agreement will be deemed to be signed by you upon the signing by you 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otherwise by your acceptance of the Grant Notice to which it is attached.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3" w:right="259" w:bottom="1440" w:gutter="0" w:footer="0" w:header="0"/>
        </w:sectPr>
      </w:pPr>
    </w:p>
    <w:bookmarkStart w:id="334" w:name="page335"/>
    <w:bookmarkEnd w:id="3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ectPr>
          <w:pgSz w:w="11900" w:h="16838" w:orient="portrait"/>
          <w:cols w:equalWidth="0" w:num="1">
            <w:col w:w="9019"/>
          </w:cols>
          <w:pgMar w:left="1440" w:top="270" w:right="1440" w:bottom="1440" w:gutter="0" w:footer="0" w:header="0"/>
        </w:sectPr>
      </w:pPr>
    </w:p>
    <w:bookmarkStart w:id="335" w:name="page336"/>
    <w:bookmarkEnd w:id="33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ORTY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EVEN</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1490 O’B</w:t>
      </w:r>
      <w:r>
        <w:rPr>
          <w:rFonts w:ascii="Arial" w:cs="Arial" w:eastAsia="Arial" w:hAnsi="Arial"/>
          <w:sz w:val="15"/>
          <w:szCs w:val="15"/>
          <w:b w:val="1"/>
          <w:bCs w:val="1"/>
          <w:color w:val="auto"/>
        </w:rPr>
        <w:t>RIEN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RIVE</w:t>
      </w:r>
      <w:r>
        <w:rPr>
          <w:rFonts w:ascii="Arial" w:cs="Arial" w:eastAsia="Arial" w:hAnsi="Arial"/>
          <w:sz w:val="18"/>
          <w:szCs w:val="18"/>
          <w:b w:val="1"/>
          <w:bCs w:val="1"/>
          <w:color w:val="auto"/>
        </w:rPr>
        <w:t>, S</w:t>
      </w:r>
      <w:r>
        <w:rPr>
          <w:rFonts w:ascii="Arial" w:cs="Arial" w:eastAsia="Arial" w:hAnsi="Arial"/>
          <w:sz w:val="15"/>
          <w:szCs w:val="15"/>
          <w:b w:val="1"/>
          <w:bCs w:val="1"/>
          <w:color w:val="auto"/>
        </w:rPr>
        <w:t>UITE</w:t>
      </w:r>
      <w:r>
        <w:rPr>
          <w:rFonts w:ascii="Arial" w:cs="Arial" w:eastAsia="Arial" w:hAnsi="Arial"/>
          <w:sz w:val="18"/>
          <w:szCs w:val="18"/>
          <w:b w:val="1"/>
          <w:bCs w:val="1"/>
          <w:color w:val="auto"/>
        </w:rPr>
        <w:t xml:space="preserv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ENLO</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ARK</w:t>
      </w:r>
      <w:r>
        <w:rPr>
          <w:rFonts w:ascii="Arial" w:cs="Arial" w:eastAsia="Arial" w:hAnsi="Arial"/>
          <w:sz w:val="18"/>
          <w:szCs w:val="18"/>
          <w:b w:val="1"/>
          <w:bCs w:val="1"/>
          <w:color w:val="auto"/>
        </w:rPr>
        <w:t>, CA 94025</w:t>
      </w:r>
    </w:p>
    <w:p>
      <w:pPr>
        <w:spacing w:after="0" w:line="211"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-10160</wp:posOffset>
            </wp:positionV>
            <wp:extent cx="8001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constitutes notice to Forty Seven,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exercise price set forth below.</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263"/>
        </w:trPr>
        <w:tc>
          <w:tcPr>
            <w:tcW w:w="4740" w:type="dxa"/>
            <w:vAlign w:val="bottom"/>
            <w:gridSpan w:val="3"/>
          </w:tcPr>
          <w:p>
            <w:pPr>
              <w:spacing w:after="0"/>
              <w:rPr>
                <w:sz w:val="20"/>
                <w:szCs w:val="20"/>
                <w:color w:val="auto"/>
              </w:rPr>
            </w:pPr>
            <w:r>
              <w:rPr>
                <w:rFonts w:ascii="Arial" w:cs="Arial" w:eastAsia="Arial" w:hAnsi="Arial"/>
                <w:sz w:val="18"/>
                <w:szCs w:val="18"/>
                <w:color w:val="auto"/>
              </w:rPr>
              <w:t>Type of option (check one):</w:t>
            </w:r>
          </w:p>
        </w:tc>
        <w:tc>
          <w:tcPr>
            <w:tcW w:w="1140" w:type="dxa"/>
            <w:vAlign w:val="bottom"/>
          </w:tcPr>
          <w:p>
            <w:pPr>
              <w:spacing w:after="0"/>
              <w:rPr>
                <w:sz w:val="22"/>
                <w:szCs w:val="22"/>
                <w:color w:val="auto"/>
              </w:rPr>
            </w:pPr>
          </w:p>
        </w:tc>
        <w:tc>
          <w:tcPr>
            <w:tcW w:w="1000" w:type="dxa"/>
            <w:vAlign w:val="bottom"/>
          </w:tcPr>
          <w:p>
            <w:pPr>
              <w:jc w:val="right"/>
              <w:spacing w:after="0" w:line="207" w:lineRule="exact"/>
              <w:rPr>
                <w:sz w:val="20"/>
                <w:szCs w:val="20"/>
                <w:color w:val="auto"/>
              </w:rPr>
            </w:pPr>
            <w:r>
              <w:rPr>
                <w:rFonts w:ascii="Arial" w:cs="Arial" w:eastAsia="Arial" w:hAnsi="Arial"/>
                <w:sz w:val="18"/>
                <w:szCs w:val="18"/>
                <w:color w:val="auto"/>
                <w:w w:val="98"/>
              </w:rPr>
              <w:t xml:space="preserve">Incentive </w:t>
            </w:r>
            <w:r>
              <w:rPr>
                <w:rFonts w:ascii="MS PGothic" w:cs="MS PGothic" w:eastAsia="MS PGothic" w:hAnsi="MS PGothic"/>
                <w:sz w:val="18"/>
                <w:szCs w:val="18"/>
                <w:color w:val="auto"/>
                <w:w w:val="98"/>
              </w:rPr>
              <w:t>☐</w:t>
            </w:r>
          </w:p>
        </w:tc>
        <w:tc>
          <w:tcPr>
            <w:tcW w:w="1800" w:type="dxa"/>
            <w:vAlign w:val="bottom"/>
            <w:gridSpan w:val="3"/>
          </w:tcPr>
          <w:p>
            <w:pPr>
              <w:ind w:left="540"/>
              <w:spacing w:after="0" w:line="207" w:lineRule="exact"/>
              <w:rPr>
                <w:sz w:val="20"/>
                <w:szCs w:val="20"/>
                <w:color w:val="auto"/>
              </w:rPr>
            </w:pPr>
            <w:r>
              <w:rPr>
                <w:rFonts w:ascii="Arial" w:cs="Arial" w:eastAsia="Arial" w:hAnsi="Arial"/>
                <w:sz w:val="18"/>
                <w:szCs w:val="18"/>
                <w:color w:val="auto"/>
                <w:w w:val="99"/>
              </w:rPr>
              <w:t xml:space="preserve">Nonstatutory </w:t>
            </w: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dated:</w:t>
            </w:r>
          </w:p>
        </w:tc>
        <w:tc>
          <w:tcPr>
            <w:tcW w:w="1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Number of Shares as to which option is exercised:</w:t>
            </w:r>
          </w:p>
        </w:tc>
        <w:tc>
          <w:tcPr>
            <w:tcW w:w="11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to be issued in name of:</w:t>
            </w:r>
          </w:p>
        </w:tc>
        <w:tc>
          <w:tcPr>
            <w:tcW w:w="1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Total exercise price:</w:t>
            </w:r>
          </w:p>
        </w:tc>
        <w:tc>
          <w:tcPr>
            <w:tcW w:w="1140" w:type="dxa"/>
            <w:vAlign w:val="bottom"/>
          </w:tcPr>
          <w:p>
            <w:pPr>
              <w:spacing w:after="0"/>
              <w:rPr>
                <w:sz w:val="20"/>
                <w:szCs w:val="20"/>
                <w:color w:val="auto"/>
              </w:rPr>
            </w:pPr>
          </w:p>
        </w:tc>
        <w:tc>
          <w:tcPr>
            <w:tcW w:w="1000" w:type="dxa"/>
            <w:vAlign w:val="bottom"/>
            <w:tcBorders>
              <w:bottom w:val="single" w:sz="8" w:color="auto"/>
            </w:tcBorders>
          </w:tcPr>
          <w:p>
            <w:pPr>
              <w:jc w:val="right"/>
              <w:ind w:right="840"/>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 delivered herewith:</w:t>
            </w: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Regulation T Program (cashless exercise</w:t>
            </w:r>
            <w:r>
              <w:rPr>
                <w:rFonts w:ascii="Arial" w:cs="Arial" w:eastAsia="Arial" w:hAnsi="Arial"/>
                <w:sz w:val="15"/>
                <w:szCs w:val="15"/>
                <w:color w:val="auto"/>
              </w:rPr>
              <w:t>1</w:t>
            </w: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Value of</w:t>
            </w:r>
          </w:p>
        </w:tc>
        <w:tc>
          <w:tcPr>
            <w:tcW w:w="3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 delivered herewith</w:t>
            </w:r>
            <w:r>
              <w:rPr>
                <w:rFonts w:ascii="Arial" w:cs="Arial" w:eastAsia="Arial" w:hAnsi="Arial"/>
                <w:sz w:val="15"/>
                <w:szCs w:val="15"/>
                <w:color w:val="auto"/>
              </w:rPr>
              <w:t>2</w:t>
            </w:r>
            <w:r>
              <w:rPr>
                <w:rFonts w:ascii="Arial" w:cs="Arial" w:eastAsia="Arial" w:hAnsi="Arial"/>
                <w:sz w:val="18"/>
                <w:szCs w:val="18"/>
                <w:color w:val="auto"/>
              </w:rPr>
              <w:t>:</w:t>
            </w: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By this exercise, I agree (i) to provide such additional documents as you may require pursuant to the terms of the Forty Seven, Inc. 2018 Equity Incentive Plan, (ii) to provide for the payment by me to you (in the manner designated by you) of your withholding obligation, if any, relating to this option, and (iii) if this exercise relates to an incentive stock option, to notify you in writing within fifteen (15) 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 hereby make the following certifications and representations with respect to the number of Shares listed above, which are being acquired by me for my own account upon exercise of the option as set forth above:</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 acknowledge that the Shares have not been registered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are deemed to constitute “restricted securities” under Rule 701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hanging="452"/>
        <w:spacing w:after="0"/>
        <w:tabs>
          <w:tab w:leader="none" w:pos="460" w:val="left"/>
        </w:tabs>
        <w:numPr>
          <w:ilvl w:val="0"/>
          <w:numId w:val="327"/>
        </w:numPr>
        <w:rPr>
          <w:rFonts w:ascii="Arial" w:cs="Arial" w:eastAsia="Arial" w:hAnsi="Arial"/>
          <w:sz w:val="15"/>
          <w:szCs w:val="15"/>
          <w:color w:val="auto"/>
        </w:rPr>
      </w:pPr>
      <w:r>
        <w:rPr>
          <w:rFonts w:ascii="Arial" w:cs="Arial" w:eastAsia="Arial" w:hAnsi="Arial"/>
          <w:sz w:val="18"/>
          <w:szCs w:val="18"/>
          <w:color w:val="auto"/>
        </w:rPr>
        <w:t>Shares must meet the public trading requirements set forth in the option agreement.</w:t>
      </w:r>
    </w:p>
    <w:p>
      <w:pPr>
        <w:spacing w:after="0" w:line="22" w:lineRule="exact"/>
        <w:rPr>
          <w:sz w:val="20"/>
          <w:szCs w:val="20"/>
          <w:color w:val="auto"/>
        </w:rPr>
      </w:pPr>
    </w:p>
    <w:p>
      <w:pPr>
        <w:ind w:left="460" w:right="40" w:hanging="452"/>
        <w:spacing w:after="0" w:line="256" w:lineRule="auto"/>
        <w:tabs>
          <w:tab w:leader="none" w:pos="460" w:val="left"/>
        </w:tabs>
        <w:numPr>
          <w:ilvl w:val="0"/>
          <w:numId w:val="328"/>
        </w:numPr>
        <w:rPr>
          <w:rFonts w:ascii="Arial" w:cs="Arial" w:eastAsia="Arial" w:hAnsi="Arial"/>
          <w:sz w:val="15"/>
          <w:szCs w:val="15"/>
          <w:color w:val="auto"/>
        </w:rPr>
      </w:pPr>
      <w:r>
        <w:rPr>
          <w:rFonts w:ascii="Arial" w:cs="Arial" w:eastAsia="Arial" w:hAnsi="Arial"/>
          <w:sz w:val="18"/>
          <w:szCs w:val="18"/>
          <w:color w:val="auto"/>
        </w:rPr>
        <w:t>Shares must meet the public trading requirements set forth in the option agreement. 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sectPr>
          <w:pgSz w:w="11900" w:h="16838" w:orient="portrait"/>
          <w:cols w:equalWidth="0" w:num="1">
            <w:col w:w="11240"/>
          </w:cols>
          <w:pgMar w:left="240" w:top="270" w:right="419" w:bottom="1440" w:gutter="0" w:footer="0" w:header="0"/>
        </w:sectPr>
      </w:pPr>
    </w:p>
    <w:bookmarkStart w:id="336" w:name="page337"/>
    <w:bookmarkEnd w:id="336"/>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further acknowledge that I will not be able to resell the Shares for at least ninety (90) days after the stock of the Company becomes publicly traded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i.e.,</w:t>
      </w:r>
      <w:r>
        <w:rPr>
          <w:rFonts w:ascii="Arial" w:cs="Arial" w:eastAsia="Arial" w:hAnsi="Arial"/>
          <w:sz w:val="16"/>
          <w:szCs w:val="16"/>
          <w:color w:val="auto"/>
        </w:rPr>
        <w:t xml:space="preserve"> subject to the reporting requirements of Section 13 or 15(d) of the Securities Exchange Act of 1934) under Rule 701 and that more restrictive conditions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apply to affiliates of the Company under Rule 144.</w:t>
      </w:r>
    </w:p>
    <w:p>
      <w:pPr>
        <w:spacing w:after="0" w:line="21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 further acknowledge that all certificates representing any of the Shares subject to the provisions of the option will have endorsed thereon appropriate legends reflecting the foregoing limitations, as well as any legends reflecting restrictions pursuant to the Company’s Articles of Incorporation, Bylaws and/or applicable securities laws.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 further acknowledge and agree that, except for such information as required to be delivered to me by the Company pursuant to the option or the Plan (if any), I will have no right to receive any information from the Company by virtue of the grant of the option or the purchase of shares of Common Stock through exercise of the option, ownership of such shares of Common Stock, or as a result of my being a holder of record of stock of the Company. Without limiting the foregoing, to the fullest extent permitted by law, I hereby waive all inspection rights under Section 220 of the Delaware General Corporation Law and all such similar information and/or inspection rights that may be provided under the law of any jurisdiction, or any federal, state or foreign regulation, that are, or may become, applicable to the Company or the Company’s capital stock (the “</w:t>
      </w:r>
      <w:r>
        <w:rPr>
          <w:rFonts w:ascii="Arial" w:cs="Arial" w:eastAsia="Arial" w:hAnsi="Arial"/>
          <w:sz w:val="18"/>
          <w:szCs w:val="18"/>
          <w:b w:val="1"/>
          <w:bCs w:val="1"/>
          <w:i w:val="1"/>
          <w:iCs w:val="1"/>
          <w:color w:val="auto"/>
        </w:rPr>
        <w:t>Inspection Rights</w:t>
      </w:r>
      <w:r>
        <w:rPr>
          <w:rFonts w:ascii="Arial" w:cs="Arial" w:eastAsia="Arial" w:hAnsi="Arial"/>
          <w:sz w:val="18"/>
          <w:szCs w:val="18"/>
          <w:color w:val="auto"/>
        </w:rPr>
        <w:t>”). I hereby covenant and agree never to directly or indirectly commence, voluntarily aid in any way, prosecute, assign, transfer, or cause to be commenced any claim, action, cause of action, or other proceeding to pursue or exercise the Inspection Rights.</w:t>
      </w:r>
    </w:p>
    <w:p>
      <w:pPr>
        <w:spacing w:after="0" w:line="19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 or regulation)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37" w:name="page338"/>
    <w:bookmarkEnd w:id="337"/>
    <w:p>
      <w:pPr>
        <w:jc w:val="right"/>
        <w:ind w:right="19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649605</wp:posOffset>
            </wp:positionV>
            <wp:extent cx="289877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332105</wp:posOffset>
            </wp:positionV>
            <wp:extent cx="289877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273" w:right="1440"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ORTY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EVEN</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5"/>
          <w:szCs w:val="15"/>
          <w:b w:val="1"/>
          <w:bCs w:val="1"/>
          <w:color w:val="auto"/>
        </w:rPr>
        <w:t>NIT</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Forty Seven,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awards to Participant a Restricted Stock Unit Award for the number of shares of the Company’s Common Stock (“</w:t>
      </w: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set forth below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Award is subject to all of the terms and conditions as set forth in this notice of grant (this “</w:t>
      </w:r>
      <w:r>
        <w:rPr>
          <w:rFonts w:ascii="Arial" w:cs="Arial" w:eastAsia="Arial" w:hAnsi="Arial"/>
          <w:sz w:val="18"/>
          <w:szCs w:val="18"/>
          <w:b w:val="1"/>
          <w:bCs w:val="1"/>
          <w:i w:val="1"/>
          <w:iCs w:val="1"/>
          <w:color w:val="auto"/>
        </w:rPr>
        <w:t>Restricted Stock Unit Grant Notice</w:t>
      </w:r>
      <w:r>
        <w:rPr>
          <w:rFonts w:ascii="Arial" w:cs="Arial" w:eastAsia="Arial" w:hAnsi="Arial"/>
          <w:sz w:val="18"/>
          <w:szCs w:val="18"/>
          <w:color w:val="auto"/>
        </w:rPr>
        <w:t>”), the Restricted Stock Unit Award Agreement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in the Plan, all of which are attached hereto and incorporated herein in their entirety. Capitalized terms not otherwise defined herein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meanings set forth in the Plan or the Award Agreement. In the event of any conflict between the terms in the Award and the Plan, the terms of the Plan will control.</w:t>
      </w:r>
    </w:p>
    <w:p>
      <w:pPr>
        <w:spacing w:after="0" w:line="22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Participant: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-130810</wp:posOffset>
            </wp:positionV>
            <wp:extent cx="24098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-121920</wp:posOffset>
            </wp:positionV>
            <wp:extent cx="24098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Number of Restricted Stock Units/Shares: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22860</wp:posOffset>
            </wp:positionV>
            <wp:extent cx="240982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-121920</wp:posOffset>
            </wp:positionV>
            <wp:extent cx="24098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54" w:lineRule="exact"/>
        <w:rPr>
          <w:sz w:val="20"/>
          <w:szCs w:val="20"/>
          <w:color w:val="auto"/>
        </w:rPr>
      </w:pPr>
    </w:p>
    <w:p>
      <w:pPr>
        <w:spacing w:after="0"/>
        <w:tabs>
          <w:tab w:leader="none" w:pos="2140" w:val="left"/>
          <w:tab w:leader="none" w:pos="364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-7620</wp:posOffset>
            </wp:positionV>
            <wp:extent cx="9144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32" w:lineRule="exact"/>
        <w:rPr>
          <w:sz w:val="20"/>
          <w:szCs w:val="20"/>
          <w:color w:val="auto"/>
        </w:rPr>
      </w:pPr>
    </w:p>
    <w:p>
      <w:pPr>
        <w:ind w:left="2160" w:right="220" w:hanging="2160"/>
        <w:spacing w:after="0" w:line="277" w:lineRule="auto"/>
        <w:tabs>
          <w:tab w:leader="none" w:pos="214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8"/>
          <w:szCs w:val="18"/>
          <w:color w:val="auto"/>
        </w:rPr>
        <w:t>The shares of Common Stock to be issued in respect of the Award will be issued in accordance with the issuance schedule set forth in Section 6 of the Restricted Stock Unit Agreement.</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Participant acknowledges receipt of, and understands and agrees to all of the terms and conditions set forth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Unit Grant Notice, the Award Agreement and the Plan. Participant acknowledges and agrees that this Restricted Stock Unit Grant Notice and the Award Agreement may not be modified, amended or revised except as provided in the Plan. Participant further acknowledges that as of the Date of Grant, this Restricted Stock Unit Grant Notice, the Award Agreement and the Plan set forth the entire understanding between Participant and the Company regarding the acquisition of Common Stock pursuant to the Award and supersede all prior oral and written agreements on that subject with the exception, if applicable, of (i) equity awards previously granted and delivered to Participant, (ii) any compensation recovery policy that is adopted by the Company or is otherwise required by applicable law, and (iii) any written employment or severance arrangement that would provide for vesting acceleration of this Award upon the terms and conditions set forth therein.</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By accepting this Award, Participant consents to receive such documents by electronic delivery and to participate in the Plan through an on-line or electronic system established and maintained by the Company or a third party designated by the Company.</w:t>
      </w:r>
    </w:p>
    <w:p>
      <w:pPr>
        <w:sectPr>
          <w:pgSz w:w="11900" w:h="16838" w:orient="portrait"/>
          <w:cols w:equalWidth="0" w:num="1">
            <w:col w:w="11420"/>
          </w:cols>
          <w:pgMar w:left="240" w:top="121" w:right="23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34"/>
        </w:trPr>
        <w:tc>
          <w:tcPr>
            <w:tcW w:w="5420" w:type="dxa"/>
            <w:vAlign w:val="bottom"/>
            <w:gridSpan w:val="4"/>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ORTY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EVEN</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c>
          <w:tcPr>
            <w:tcW w:w="6000" w:type="dxa"/>
            <w:vAlign w:val="bottom"/>
            <w:gridSpan w:val="2"/>
          </w:tcPr>
          <w:p>
            <w:pPr>
              <w:jc w:val="center"/>
              <w:ind w:right="463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p>
        </w:tc>
      </w:tr>
      <w:tr>
        <w:trPr>
          <w:trHeight w:val="432"/>
        </w:trPr>
        <w:tc>
          <w:tcPr>
            <w:tcW w:w="5420" w:type="dxa"/>
            <w:vAlign w:val="bottom"/>
            <w:gridSpan w:val="4"/>
          </w:tcPr>
          <w:p>
            <w:pPr>
              <w:spacing w:after="0"/>
              <w:rPr>
                <w:sz w:val="20"/>
                <w:szCs w:val="20"/>
                <w:color w:val="auto"/>
              </w:rPr>
            </w:pPr>
            <w:r>
              <w:rPr>
                <w:rFonts w:ascii="Arial" w:cs="Arial" w:eastAsia="Arial" w:hAnsi="Arial"/>
                <w:sz w:val="18"/>
                <w:szCs w:val="18"/>
                <w:color w:val="auto"/>
              </w:rPr>
              <w:t>By:</w:t>
            </w:r>
          </w:p>
        </w:tc>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460" w:type="dxa"/>
            <w:vAlign w:val="bottom"/>
            <w:tcBorders>
              <w:top w:val="single" w:sz="8" w:color="auto"/>
            </w:tcBorders>
          </w:tcPr>
          <w:p>
            <w:pPr>
              <w:ind w:left="1660"/>
              <w:spacing w:after="0"/>
              <w:rPr>
                <w:sz w:val="20"/>
                <w:szCs w:val="20"/>
                <w:color w:val="auto"/>
              </w:rPr>
            </w:pPr>
            <w:r>
              <w:rPr>
                <w:rFonts w:ascii="Arial" w:cs="Arial" w:eastAsia="Arial" w:hAnsi="Arial"/>
                <w:sz w:val="18"/>
                <w:szCs w:val="18"/>
                <w:color w:val="auto"/>
              </w:rPr>
              <w:t>Signature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120" w:type="dxa"/>
            <w:vAlign w:val="bottom"/>
            <w:tcBorders>
              <w:top w:val="single" w:sz="8" w:color="auto"/>
            </w:tcBorders>
          </w:tcPr>
          <w:p>
            <w:pPr>
              <w:ind w:left="1840"/>
              <w:spacing w:after="0"/>
              <w:rPr>
                <w:sz w:val="20"/>
                <w:szCs w:val="20"/>
                <w:color w:val="auto"/>
              </w:rPr>
            </w:pPr>
            <w:r>
              <w:rPr>
                <w:rFonts w:ascii="Arial" w:cs="Arial" w:eastAsia="Arial" w:hAnsi="Arial"/>
                <w:sz w:val="18"/>
                <w:szCs w:val="18"/>
                <w:color w:val="auto"/>
              </w:rPr>
              <w:t>Signature</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center"/>
              <w:ind w:left="290"/>
              <w:spacing w:after="0"/>
              <w:rPr>
                <w:sz w:val="20"/>
                <w:szCs w:val="20"/>
                <w:color w:val="auto"/>
              </w:rPr>
            </w:pPr>
            <w:r>
              <w:rPr>
                <w:rFonts w:ascii="Arial" w:cs="Arial" w:eastAsia="Arial" w:hAnsi="Arial"/>
                <w:sz w:val="18"/>
                <w:szCs w:val="18"/>
                <w:color w:val="auto"/>
                <w:w w:val="88"/>
              </w:rPr>
              <w:t>Date:</w:t>
            </w:r>
          </w:p>
        </w:tc>
        <w:tc>
          <w:tcPr>
            <w:tcW w:w="5120" w:type="dxa"/>
            <w:vAlign w:val="bottom"/>
            <w:tcBorders>
              <w:bottom w:val="single" w:sz="8" w:color="auto"/>
            </w:tcBorders>
          </w:tcPr>
          <w:p>
            <w:pPr>
              <w:spacing w:after="0"/>
              <w:rPr>
                <w:sz w:val="24"/>
                <w:szCs w:val="24"/>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26"/>
        </w:trPr>
        <w:tc>
          <w:tcPr>
            <w:tcW w:w="5420" w:type="dxa"/>
            <w:vAlign w:val="bottom"/>
            <w:gridSpan w:val="4"/>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TTACHMENTS</w:t>
            </w:r>
            <w:r>
              <w:rPr>
                <w:rFonts w:ascii="Arial" w:cs="Arial" w:eastAsia="Arial" w:hAnsi="Arial"/>
                <w:sz w:val="18"/>
                <w:szCs w:val="18"/>
                <w:color w:val="auto"/>
              </w:rPr>
              <w:t>: Award Agreement and 2018 Equity Incentive Plan</w:t>
            </w:r>
          </w:p>
        </w:tc>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40" w:name="page341"/>
    <w:bookmarkEnd w:id="3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ORTY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EVEN</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5"/>
          <w:szCs w:val="15"/>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1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Pursuant to the Restricted Stock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Restricted Stock Unit Agreement (the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Forty Seven,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you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pursuant to Section 6 of the Company’s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Units/shares indicated in the Grant Notice. Capitalized terms not explicitly defined in this Award Agreement or the Grant Notice will have the same meanings given to them in the Plan. The terms of your Award, in addition to those set forth in the Grant Notice and the Plan, are as follows.</w:t>
      </w:r>
    </w:p>
    <w:p>
      <w:pPr>
        <w:spacing w:after="0" w:line="184" w:lineRule="exact"/>
        <w:rPr>
          <w:sz w:val="20"/>
          <w:szCs w:val="20"/>
          <w:color w:val="auto"/>
        </w:rPr>
      </w:pPr>
    </w:p>
    <w:p>
      <w:pPr>
        <w:ind w:right="60" w:firstLine="464"/>
        <w:spacing w:after="0" w:line="270" w:lineRule="auto"/>
        <w:tabs>
          <w:tab w:leader="none" w:pos="636" w:val="left"/>
        </w:tabs>
        <w:numPr>
          <w:ilvl w:val="0"/>
          <w:numId w:val="329"/>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RANT OF THE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xml:space="preserve">. </w:t>
      </w:r>
      <w:r>
        <w:rPr>
          <w:rFonts w:ascii="Arial" w:cs="Arial" w:eastAsia="Arial" w:hAnsi="Arial"/>
          <w:sz w:val="17"/>
          <w:szCs w:val="17"/>
          <w:color w:val="auto"/>
        </w:rPr>
        <w:t>This Award represents the right to be issued on a future date one (1) share of Common Stock for each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 that vests on the applicable vesting date(s) (subject to any adjustment under Section 3 below) as indicated in the Grant Notice. As of the Date of Grant, the Company will credit to a bookkeeping account maintained by the Company, or a third party designated by the Company, for your benefit (the “</w:t>
      </w:r>
      <w:r>
        <w:rPr>
          <w:rFonts w:ascii="Arial" w:cs="Arial" w:eastAsia="Arial" w:hAnsi="Arial"/>
          <w:sz w:val="17"/>
          <w:szCs w:val="17"/>
          <w:b w:val="1"/>
          <w:bCs w:val="1"/>
          <w:i w:val="1"/>
          <w:iCs w:val="1"/>
          <w:color w:val="auto"/>
        </w:rPr>
        <w:t>Account</w:t>
      </w:r>
      <w:r>
        <w:rPr>
          <w:rFonts w:ascii="Arial" w:cs="Arial" w:eastAsia="Arial" w:hAnsi="Arial"/>
          <w:sz w:val="17"/>
          <w:szCs w:val="17"/>
          <w:color w:val="auto"/>
        </w:rPr>
        <w:t>”) the number of Restricted Stock Units/shares of Common Stock subject to the Award.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vesting of your Restricted Stock Units, and, to the extent applicable, references in this Award Agreement and the Grant Notice to Common Stock issuable in connection with your Restricted Stock Units will include the potential issuance of its cash equivalent pursuant to such right, unless otherwise provided for your country in the Appendix.</w:t>
      </w:r>
    </w:p>
    <w:p>
      <w:pPr>
        <w:spacing w:after="0" w:line="177" w:lineRule="exact"/>
        <w:rPr>
          <w:rFonts w:ascii="Arial" w:cs="Arial" w:eastAsia="Arial" w:hAnsi="Arial"/>
          <w:sz w:val="17"/>
          <w:szCs w:val="17"/>
          <w:b w:val="1"/>
          <w:bCs w:val="1"/>
          <w:color w:val="auto"/>
        </w:rPr>
      </w:pPr>
    </w:p>
    <w:p>
      <w:pPr>
        <w:ind w:right="40" w:firstLine="464"/>
        <w:spacing w:after="0" w:line="261" w:lineRule="auto"/>
        <w:tabs>
          <w:tab w:leader="none" w:pos="636"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your Award will vest, if at all, in accordance with the vesting schedule provided in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spacing w:after="0" w:line="18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purposes of your Award, your Continuous Service will be considered terminated (regardless of the reason of termination, whether or not later found to be invalid or in breach of employment or other laws or rules in the jurisdiction where you are providing services or the terms of your employment or service agreement, if any) effective as of the date that you cease to actively provide services to the Company or any Affiliate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employment or service would not include any contractual notice period or any period of “garden leave” or similar period mandated under employment or other laws in the jurisdiction where you are employed or providing services or the terms of your employment or service agreement, if any). The Board shall have exclusive discretion to determine when you are no longer actively employed or providing services for purposes of the Plan (including whether you still may be considered to be providing services while on a leave of absence).</w:t>
      </w:r>
    </w:p>
    <w:p>
      <w:pPr>
        <w:spacing w:after="0" w:line="174" w:lineRule="exact"/>
        <w:rPr>
          <w:sz w:val="20"/>
          <w:szCs w:val="20"/>
          <w:color w:val="auto"/>
        </w:rPr>
      </w:pPr>
    </w:p>
    <w:p>
      <w:pPr>
        <w:ind w:right="360" w:firstLine="464"/>
        <w:spacing w:after="0" w:line="347" w:lineRule="auto"/>
        <w:tabs>
          <w:tab w:leader="none" w:pos="636" w:val="left"/>
        </w:tabs>
        <w:numPr>
          <w:ilvl w:val="0"/>
          <w:numId w:val="330"/>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3"/>
          <w:szCs w:val="13"/>
          <w:b w:val="1"/>
          <w:bCs w:val="1"/>
          <w:color w:val="auto"/>
        </w:rPr>
        <w:t>UMBER OF</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number of Restricted Stock Units/shares subject to your Award may be adjusted from time to time for 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as provided in the Plan. Any additional Restricted Stock Units, shares, cash or other property that become subject to the Award</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341" w:name="page342"/>
    <w:bookmarkEnd w:id="341"/>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this Section 3, if any, will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will be created pursuant to this Section 3. Any fraction of a share will be rounded down to the nearest whole share.</w:t>
      </w:r>
    </w:p>
    <w:p>
      <w:pPr>
        <w:spacing w:after="0" w:line="183" w:lineRule="exact"/>
        <w:rPr>
          <w:sz w:val="20"/>
          <w:szCs w:val="20"/>
          <w:color w:val="auto"/>
        </w:rPr>
      </w:pPr>
    </w:p>
    <w:p>
      <w:pPr>
        <w:ind w:right="180" w:firstLine="464"/>
        <w:spacing w:after="0" w:line="258" w:lineRule="auto"/>
        <w:tabs>
          <w:tab w:leader="none" w:pos="636"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OMPLIANCE</w:t>
      </w:r>
      <w:r>
        <w:rPr>
          <w:rFonts w:ascii="Arial" w:cs="Arial" w:eastAsia="Arial" w:hAnsi="Arial"/>
          <w:sz w:val="18"/>
          <w:szCs w:val="18"/>
          <w:color w:val="auto"/>
        </w:rPr>
        <w:t>. You may not be issued any Common Stock under your Award unless the shares of Common Stock underlying the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are either (i) then registered under the Securities Act, or (ii) the Company has determined that such issuance would be exempt from the registration requirements of the Securities Act. Your Award must also comply with other applicable laws and regulations governing the Award, including any U.S. state, federal and local laws, and you will not receive such Common Stock if the Company determines that such receipt would not be in material compliance with such laws and regulations.</w:t>
      </w:r>
    </w:p>
    <w:p>
      <w:pPr>
        <w:spacing w:after="0" w:line="183" w:lineRule="exact"/>
        <w:rPr>
          <w:rFonts w:ascii="Arial" w:cs="Arial" w:eastAsia="Arial" w:hAnsi="Arial"/>
          <w:sz w:val="18"/>
          <w:szCs w:val="18"/>
          <w:b w:val="1"/>
          <w:bCs w:val="1"/>
          <w:color w:val="auto"/>
        </w:rPr>
      </w:pPr>
    </w:p>
    <w:p>
      <w:pPr>
        <w:ind w:firstLine="464"/>
        <w:spacing w:after="0" w:line="273" w:lineRule="auto"/>
        <w:tabs>
          <w:tab w:leader="none" w:pos="636" w:val="left"/>
        </w:tabs>
        <w:numPr>
          <w:ilvl w:val="0"/>
          <w:numId w:val="331"/>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RANSFER</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ESTRICTIONS</w:t>
      </w:r>
      <w:r>
        <w:rPr>
          <w:rFonts w:ascii="Arial" w:cs="Arial" w:eastAsia="Arial" w:hAnsi="Arial"/>
          <w:sz w:val="17"/>
          <w:szCs w:val="17"/>
          <w:color w:val="auto"/>
        </w:rPr>
        <w:t>. Prior to the time that shares of Common Stock have been delivered to you, you may not transfer, pledge, sell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Award Agreement. In the absence of such a designation, your legal representative will be entitled to receive, on behalf of your estate, such Common Stock or other consideration.</w:t>
      </w:r>
    </w:p>
    <w:p>
      <w:pPr>
        <w:spacing w:after="0" w:line="64" w:lineRule="exact"/>
        <w:rPr>
          <w:rFonts w:ascii="Arial" w:cs="Arial" w:eastAsia="Arial" w:hAnsi="Arial"/>
          <w:sz w:val="17"/>
          <w:szCs w:val="17"/>
          <w:b w:val="1"/>
          <w:bCs w:val="1"/>
          <w:color w:val="auto"/>
        </w:rPr>
      </w:pPr>
    </w:p>
    <w:p>
      <w:pPr>
        <w:jc w:val="both"/>
        <w:ind w:right="260" w:firstLine="921"/>
        <w:spacing w:after="0" w:line="266" w:lineRule="auto"/>
        <w:tabs>
          <w:tab w:leader="none" w:pos="1157" w:val="left"/>
        </w:tabs>
        <w:numPr>
          <w:ilvl w:val="1"/>
          <w:numId w:val="331"/>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Your Award is transferable by will and by the laws of descent and distribution. At your death, vesting of your Award will cease and</w:t>
      </w:r>
      <w:r>
        <w:rPr>
          <w:rFonts w:ascii="Arial" w:cs="Arial" w:eastAsia="Arial" w:hAnsi="Arial"/>
          <w:sz w:val="18"/>
          <w:szCs w:val="18"/>
          <w:b w:val="1"/>
          <w:bCs w:val="1"/>
          <w:color w:val="auto"/>
        </w:rPr>
        <w:t xml:space="preserve"> </w:t>
      </w:r>
      <w:r>
        <w:rPr>
          <w:rFonts w:ascii="Arial" w:cs="Arial" w:eastAsia="Arial" w:hAnsi="Arial"/>
          <w:sz w:val="18"/>
          <w:szCs w:val="18"/>
          <w:color w:val="auto"/>
        </w:rPr>
        <w:t>your executor or administrator of your estate will be entitled to receive, on behalf of your estate, any Common Stock or other consideration that vested but was not issued before your death.</w:t>
      </w:r>
    </w:p>
    <w:p>
      <w:pPr>
        <w:spacing w:after="0" w:line="68" w:lineRule="exact"/>
        <w:rPr>
          <w:rFonts w:ascii="Arial" w:cs="Arial" w:eastAsia="Arial" w:hAnsi="Arial"/>
          <w:sz w:val="18"/>
          <w:szCs w:val="18"/>
          <w:color w:val="auto"/>
        </w:rPr>
      </w:pPr>
    </w:p>
    <w:p>
      <w:pPr>
        <w:ind w:right="40" w:firstLine="921"/>
        <w:spacing w:after="0" w:line="295" w:lineRule="auto"/>
        <w:tabs>
          <w:tab w:leader="none" w:pos="1168" w:val="left"/>
        </w:tabs>
        <w:numPr>
          <w:ilvl w:val="1"/>
          <w:numId w:val="331"/>
        </w:numPr>
        <w:rPr>
          <w:rFonts w:ascii="Arial" w:cs="Arial" w:eastAsia="Arial" w:hAnsi="Arial"/>
          <w:sz w:val="16"/>
          <w:szCs w:val="16"/>
          <w:color w:val="auto"/>
        </w:rPr>
      </w:pPr>
      <w:r>
        <w:rPr>
          <w:rFonts w:ascii="Arial" w:cs="Arial" w:eastAsia="Arial" w:hAnsi="Arial"/>
          <w:sz w:val="16"/>
          <w:szCs w:val="16"/>
          <w:b w:val="1"/>
          <w:bCs w:val="1"/>
          <w:color w:val="auto"/>
        </w:rPr>
        <w:t xml:space="preserve">Domestic Relations Orders. </w:t>
      </w:r>
      <w:r>
        <w:rPr>
          <w:rFonts w:ascii="Arial" w:cs="Arial" w:eastAsia="Arial" w:hAnsi="Arial"/>
          <w:sz w:val="16"/>
          <w:szCs w:val="16"/>
          <w:color w:val="auto"/>
        </w:rPr>
        <w:t>Upon receiving written permission from the Board or its duly authorized designee, and provided that you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55" w:lineRule="exact"/>
        <w:rPr>
          <w:rFonts w:ascii="Arial" w:cs="Arial" w:eastAsia="Arial" w:hAnsi="Arial"/>
          <w:sz w:val="16"/>
          <w:szCs w:val="16"/>
          <w:color w:val="auto"/>
        </w:rPr>
      </w:pPr>
    </w:p>
    <w:p>
      <w:pPr>
        <w:ind w:left="640" w:hanging="176"/>
        <w:spacing w:after="0"/>
        <w:tabs>
          <w:tab w:leader="none" w:pos="64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ATE OF</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SSUANCE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60" w:firstLine="921"/>
        <w:spacing w:after="0" w:line="276" w:lineRule="auto"/>
        <w:tabs>
          <w:tab w:leader="none" w:pos="1158" w:val="left"/>
        </w:tabs>
        <w:numPr>
          <w:ilvl w:val="1"/>
          <w:numId w:val="331"/>
        </w:numPr>
        <w:rPr>
          <w:rFonts w:ascii="Arial" w:cs="Arial" w:eastAsia="Arial" w:hAnsi="Arial"/>
          <w:sz w:val="17"/>
          <w:szCs w:val="17"/>
          <w:color w:val="auto"/>
        </w:rPr>
      </w:pPr>
      <w:r>
        <w:rPr>
          <w:rFonts w:ascii="Arial" w:cs="Arial" w:eastAsia="Arial" w:hAnsi="Arial"/>
          <w:sz w:val="17"/>
          <w:szCs w:val="17"/>
          <w:color w:val="auto"/>
        </w:rPr>
        <w:t>The issuance of shares in respect of the Restricted Stock Units is intended to comply with Treasury Regulations Section 1.409A-1(b)(4) and will be construed and administered in such a manner. Subject to the satisfaction any withholding obligation for Tax-Related Items (as defined in Section 10 below), in the event one or more Restricted Stock Units vests, the Company will issue to you one (1) share of Common Stock for each Restricted Stock Unit that vests on the applicable vesting date(s) (subject to any adjustment under Section 3 above, and subject to any different provisions in the Grant Notice). The issuance date determined by this paragraph is referred to as the “</w:t>
      </w:r>
      <w:r>
        <w:rPr>
          <w:rFonts w:ascii="Arial" w:cs="Arial" w:eastAsia="Arial" w:hAnsi="Arial"/>
          <w:sz w:val="17"/>
          <w:szCs w:val="17"/>
          <w:b w:val="1"/>
          <w:bCs w:val="1"/>
          <w:i w:val="1"/>
          <w:iCs w:val="1"/>
          <w:color w:val="auto"/>
        </w:rPr>
        <w:t>Original Issuance Date</w:t>
      </w:r>
      <w:r>
        <w:rPr>
          <w:rFonts w:ascii="Arial" w:cs="Arial" w:eastAsia="Arial" w:hAnsi="Arial"/>
          <w:sz w:val="17"/>
          <w:szCs w:val="17"/>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42" w:name="page343"/>
    <w:bookmarkEnd w:id="342"/>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If the Original Issuance Date falls on a date that is not a business day, delivery will instead occur on the next following business day.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 if:</w:t>
      </w:r>
    </w:p>
    <w:p>
      <w:pPr>
        <w:spacing w:after="0" w:line="103" w:lineRule="exact"/>
        <w:rPr>
          <w:sz w:val="20"/>
          <w:szCs w:val="20"/>
          <w:color w:val="auto"/>
        </w:rPr>
      </w:pPr>
    </w:p>
    <w:p>
      <w:pPr>
        <w:jc w:val="both"/>
        <w:ind w:right="140" w:firstLine="1492"/>
        <w:spacing w:after="0" w:line="302" w:lineRule="auto"/>
        <w:tabs>
          <w:tab w:leader="none" w:pos="1698" w:val="left"/>
        </w:tabs>
        <w:numPr>
          <w:ilvl w:val="1"/>
          <w:numId w:val="332"/>
        </w:numPr>
        <w:rPr>
          <w:rFonts w:ascii="Arial" w:cs="Arial" w:eastAsia="Arial" w:hAnsi="Arial"/>
          <w:sz w:val="16"/>
          <w:szCs w:val="16"/>
          <w:color w:val="auto"/>
        </w:rPr>
      </w:pPr>
      <w:r>
        <w:rPr>
          <w:rFonts w:ascii="Arial" w:cs="Arial" w:eastAsia="Arial" w:hAnsi="Arial"/>
          <w:sz w:val="16"/>
          <w:szCs w:val="16"/>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6"/>
          <w:szCs w:val="16"/>
          <w:b w:val="1"/>
          <w:bCs w:val="1"/>
          <w:i w:val="1"/>
          <w:iCs w:val="1"/>
          <w:color w:val="auto"/>
        </w:rPr>
        <w:t>10b5-1 Plan</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p>
    <w:p>
      <w:pPr>
        <w:spacing w:after="0" w:line="46" w:lineRule="exact"/>
        <w:rPr>
          <w:rFonts w:ascii="Arial" w:cs="Arial" w:eastAsia="Arial" w:hAnsi="Arial"/>
          <w:sz w:val="16"/>
          <w:szCs w:val="16"/>
          <w:color w:val="auto"/>
        </w:rPr>
      </w:pPr>
    </w:p>
    <w:p>
      <w:pPr>
        <w:ind w:right="20" w:firstLine="1492"/>
        <w:spacing w:after="0" w:line="286" w:lineRule="auto"/>
        <w:tabs>
          <w:tab w:leader="none" w:pos="1748" w:val="left"/>
        </w:tabs>
        <w:numPr>
          <w:ilvl w:val="1"/>
          <w:numId w:val="332"/>
        </w:numPr>
        <w:rPr>
          <w:rFonts w:ascii="Arial" w:cs="Arial" w:eastAsia="Arial" w:hAnsi="Arial"/>
          <w:sz w:val="16"/>
          <w:szCs w:val="16"/>
          <w:color w:val="auto"/>
        </w:rPr>
      </w:pPr>
      <w:r>
        <w:rPr>
          <w:rFonts w:ascii="Arial" w:cs="Arial" w:eastAsia="Arial" w:hAnsi="Arial"/>
          <w:sz w:val="16"/>
          <w:szCs w:val="16"/>
          <w:color w:val="auto"/>
        </w:rPr>
        <w:t>either (1) withholding obligations for Tax-Related Items (as defined in Section 10 below) do not apply, or (2) the Company decides, prior to the Original Issuance Date, (A) not to satisfy the withholding obligation for Tax-Related Items (as defined in Section 10 below) by withholding shares of Common Stock from the shares otherwise due, on the Original Issuance Date, to you under this Award, and (B) not to permit you to enter into a “same day sale” commitment with a broker-dealer pursuant to Section 10 of this Award Agreement (including but not limited to a commitment under a 10b5-1 Plan) and</w:t>
      </w:r>
    </w:p>
    <w:p>
      <w:pPr>
        <w:spacing w:after="0" w:line="1" w:lineRule="exact"/>
        <w:rPr>
          <w:rFonts w:ascii="Arial" w:cs="Arial" w:eastAsia="Arial" w:hAnsi="Arial"/>
          <w:sz w:val="16"/>
          <w:szCs w:val="16"/>
          <w:color w:val="auto"/>
        </w:rPr>
      </w:pPr>
    </w:p>
    <w:p>
      <w:pPr>
        <w:ind w:right="240" w:firstLine="8"/>
        <w:spacing w:after="0" w:line="261" w:lineRule="auto"/>
        <w:tabs>
          <w:tab w:leader="none" w:pos="28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not to permit you to pay the Tax-Related Items in cash or from other compensation otherwise payable to you by the Company (as defined in Section 10 below),</w:t>
      </w:r>
    </w:p>
    <w:p>
      <w:pPr>
        <w:spacing w:after="0" w:line="18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u w:val="single" w:color="auto"/>
          <w:color w:val="auto"/>
        </w:rPr>
        <w:t>then</w:t>
      </w:r>
      <w:r>
        <w:rPr>
          <w:rFonts w:ascii="Arial" w:cs="Arial" w:eastAsia="Arial" w:hAnsi="Arial"/>
          <w:sz w:val="17"/>
          <w:szCs w:val="17"/>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7"/>
          <w:szCs w:val="17"/>
          <w:u w:val="single" w:color="auto"/>
          <w:color w:val="auto"/>
        </w:rPr>
        <w:t>if and only if</w:t>
      </w:r>
      <w:r>
        <w:rPr>
          <w:rFonts w:ascii="Arial" w:cs="Arial" w:eastAsia="Arial" w:hAnsi="Arial"/>
          <w:sz w:val="17"/>
          <w:szCs w:val="17"/>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70" w:lineRule="exact"/>
        <w:rPr>
          <w:sz w:val="20"/>
          <w:szCs w:val="20"/>
          <w:color w:val="auto"/>
        </w:rPr>
      </w:pPr>
    </w:p>
    <w:p>
      <w:pPr>
        <w:ind w:right="300" w:firstLine="921"/>
        <w:spacing w:after="0" w:line="277" w:lineRule="auto"/>
        <w:tabs>
          <w:tab w:leader="none" w:pos="1158"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form of delivery of the shares of Common Stock in respect of your Award (</w:t>
      </w:r>
      <w:r>
        <w:rPr>
          <w:rFonts w:ascii="Arial" w:cs="Arial" w:eastAsia="Arial" w:hAnsi="Arial"/>
          <w:sz w:val="18"/>
          <w:szCs w:val="18"/>
          <w:i w:val="1"/>
          <w:iCs w:val="1"/>
          <w:color w:val="auto"/>
        </w:rPr>
        <w:t>e.g.</w:t>
      </w:r>
      <w:r>
        <w:rPr>
          <w:rFonts w:ascii="Arial" w:cs="Arial" w:eastAsia="Arial" w:hAnsi="Arial"/>
          <w:sz w:val="18"/>
          <w:szCs w:val="18"/>
          <w:color w:val="auto"/>
        </w:rPr>
        <w:t>, a stock certificate or electronic entry evidencing such shares) will be determined by the Company.</w:t>
      </w:r>
    </w:p>
    <w:p>
      <w:pPr>
        <w:spacing w:after="0" w:line="166" w:lineRule="exact"/>
        <w:rPr>
          <w:rFonts w:ascii="Arial" w:cs="Arial" w:eastAsia="Arial" w:hAnsi="Arial"/>
          <w:sz w:val="18"/>
          <w:szCs w:val="18"/>
          <w:color w:val="auto"/>
        </w:rPr>
      </w:pPr>
    </w:p>
    <w:p>
      <w:pPr>
        <w:ind w:right="240" w:firstLine="464"/>
        <w:spacing w:after="0" w:line="266" w:lineRule="auto"/>
        <w:tabs>
          <w:tab w:leader="none" w:pos="636"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IVIDENDS</w:t>
      </w:r>
      <w:r>
        <w:rPr>
          <w:rFonts w:ascii="Arial" w:cs="Arial" w:eastAsia="Arial" w:hAnsi="Arial"/>
          <w:sz w:val="18"/>
          <w:szCs w:val="18"/>
          <w:color w:val="auto"/>
        </w:rPr>
        <w:t>. You will receive no benefit or adjustment to your Award with respect to any cash dividend, stock dividend or other distribution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76" w:lineRule="exact"/>
        <w:rPr>
          <w:rFonts w:ascii="Arial" w:cs="Arial" w:eastAsia="Arial" w:hAnsi="Arial"/>
          <w:sz w:val="18"/>
          <w:szCs w:val="18"/>
          <w:b w:val="1"/>
          <w:bCs w:val="1"/>
          <w:color w:val="auto"/>
        </w:rPr>
      </w:pPr>
    </w:p>
    <w:p>
      <w:pPr>
        <w:ind w:right="280" w:firstLine="464"/>
        <w:spacing w:after="0" w:line="282" w:lineRule="auto"/>
        <w:tabs>
          <w:tab w:leader="none" w:pos="636"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ESTRICTIVE</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EGENDS</w:t>
      </w:r>
      <w:r>
        <w:rPr>
          <w:rFonts w:ascii="Arial" w:cs="Arial" w:eastAsia="Arial" w:hAnsi="Arial"/>
          <w:sz w:val="18"/>
          <w:szCs w:val="18"/>
          <w:color w:val="auto"/>
        </w:rPr>
        <w:t>. The shares of Common Stock issued under your Award will be endorsed with appropriate legends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1" w:lineRule="exact"/>
        <w:rPr>
          <w:rFonts w:ascii="Arial" w:cs="Arial" w:eastAsia="Arial" w:hAnsi="Arial"/>
          <w:sz w:val="18"/>
          <w:szCs w:val="18"/>
          <w:b w:val="1"/>
          <w:bCs w:val="1"/>
          <w:color w:val="auto"/>
        </w:rPr>
      </w:pPr>
    </w:p>
    <w:p>
      <w:pPr>
        <w:ind w:right="80" w:firstLine="464"/>
        <w:spacing w:after="0" w:line="314" w:lineRule="auto"/>
        <w:tabs>
          <w:tab w:leader="none" w:pos="636"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E</w:t>
      </w:r>
      <w:r>
        <w:rPr>
          <w:rFonts w:ascii="Arial" w:cs="Arial" w:eastAsia="Arial" w:hAnsi="Arial"/>
          <w:sz w:val="13"/>
          <w:szCs w:val="13"/>
          <w:b w:val="1"/>
          <w:bCs w:val="1"/>
          <w:color w:val="auto"/>
        </w:rPr>
        <w:t>XECUTION OF</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16"/>
          <w:szCs w:val="16"/>
          <w:color w:val="auto"/>
        </w:rPr>
        <w:t>. You hereby acknowledge and agree that the manner selected by the Company by which you indicate your consent to</w:t>
      </w:r>
      <w:r>
        <w:rPr>
          <w:rFonts w:ascii="Arial" w:cs="Arial" w:eastAsia="Arial" w:hAnsi="Arial"/>
          <w:sz w:val="16"/>
          <w:szCs w:val="16"/>
          <w:b w:val="1"/>
          <w:bCs w:val="1"/>
          <w:color w:val="auto"/>
        </w:rPr>
        <w:t xml:space="preserve"> </w:t>
      </w:r>
      <w:r>
        <w:rPr>
          <w:rFonts w:ascii="Arial" w:cs="Arial" w:eastAsia="Arial" w:hAnsi="Arial"/>
          <w:sz w:val="16"/>
          <w:szCs w:val="16"/>
          <w:color w:val="auto"/>
        </w:rPr>
        <w:t>your Grant Notice is also deemed to be your execution of your Grant Notice and of this Award Agreement. You further agree that such manner of indicating consent may be relied upon as your signature for establishing your execution of any documents to be executed in the future in connection with your Award.</w:t>
      </w:r>
    </w:p>
    <w:p>
      <w:pPr>
        <w:spacing w:after="0" w:line="142" w:lineRule="exact"/>
        <w:rPr>
          <w:rFonts w:ascii="Arial" w:cs="Arial" w:eastAsia="Arial" w:hAnsi="Arial"/>
          <w:sz w:val="16"/>
          <w:szCs w:val="16"/>
          <w:b w:val="1"/>
          <w:bCs w:val="1"/>
          <w:color w:val="auto"/>
        </w:rPr>
      </w:pPr>
    </w:p>
    <w:p>
      <w:pPr>
        <w:ind w:left="740" w:hanging="276"/>
        <w:spacing w:after="0"/>
        <w:tabs>
          <w:tab w:leader="none" w:pos="74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ESPONSIBILITY FOR</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AXES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80" w:firstLine="921"/>
        <w:spacing w:after="0" w:line="277" w:lineRule="auto"/>
        <w:tabs>
          <w:tab w:leader="none" w:pos="1158" w:val="left"/>
        </w:tabs>
        <w:numPr>
          <w:ilvl w:val="1"/>
          <w:numId w:val="335"/>
        </w:numPr>
        <w:rPr>
          <w:rFonts w:ascii="Arial" w:cs="Arial" w:eastAsia="Arial" w:hAnsi="Arial"/>
          <w:sz w:val="18"/>
          <w:szCs w:val="18"/>
          <w:color w:val="auto"/>
        </w:rPr>
      </w:pPr>
      <w:r>
        <w:rPr>
          <w:rFonts w:ascii="Arial" w:cs="Arial" w:eastAsia="Arial" w:hAnsi="Arial"/>
          <w:sz w:val="18"/>
          <w:szCs w:val="18"/>
          <w:color w:val="auto"/>
        </w:rPr>
        <w:t>You acknowledge that, regardless of any action the Company or, if different, your employer (the “</w:t>
      </w:r>
      <w:r>
        <w:rPr>
          <w:rFonts w:ascii="Arial" w:cs="Arial" w:eastAsia="Arial" w:hAnsi="Arial"/>
          <w:sz w:val="18"/>
          <w:szCs w:val="18"/>
          <w:b w:val="1"/>
          <w:bCs w:val="1"/>
          <w:i w:val="1"/>
          <w:iCs w:val="1"/>
          <w:color w:val="auto"/>
        </w:rPr>
        <w:t>Employer</w:t>
      </w:r>
      <w:r>
        <w:rPr>
          <w:rFonts w:ascii="Arial" w:cs="Arial" w:eastAsia="Arial" w:hAnsi="Arial"/>
          <w:sz w:val="18"/>
          <w:szCs w:val="18"/>
          <w:i w:val="1"/>
          <w:iCs w:val="1"/>
          <w:color w:val="auto"/>
        </w:rPr>
        <w:t>”)</w:t>
      </w:r>
      <w:r>
        <w:rPr>
          <w:rFonts w:ascii="Arial" w:cs="Arial" w:eastAsia="Arial" w:hAnsi="Arial"/>
          <w:sz w:val="18"/>
          <w:szCs w:val="18"/>
          <w:color w:val="auto"/>
        </w:rPr>
        <w:t xml:space="preserve"> takes with respect to any or all income tax, social insurance, payroll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43" w:name="page344"/>
    <w:bookmarkEnd w:id="343"/>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fringe benefit tax, payment on account or other tax related items related to your participation in the Plan and legally applicable to you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the ultimate liability for all Tax-Related Items is and remains your responsibility and may exceed the amount actually withheld by the Company or the Employer, if any. You further acknowledge that the Company and the Employer (i) make no representations or undertakings regarding the treatment of any Tax-Related Items in connection with any aspect of your Restricted Stock Units, including, but not limited to, the grant of the Restricted Stock Units, the vesting and settlement of the Restricted Stock Units, the delivery or sale of any shares of Common Stock and the issuance of any dividends, and (ii) do not commit to and are under no obligation to structure the terms of the grant or any aspect of your Award to reduce or eliminate your liability for Tax-Related Items or achieve any particular tax result. You acknowledge and agree that you will not make any claim against the Company, or any of its Officers, Directors, Employees or Affiliates for Tax-Related Items arising from your Award. Further, if you are subject to Tax-Related Items in more than one jurisdiction, you acknowledge that the Company and/or the Employer may be required to withhold or account for Tax-Related Items in more than one jurisdiction.</w:t>
      </w:r>
    </w:p>
    <w:p>
      <w:pPr>
        <w:spacing w:after="0" w:line="87" w:lineRule="exact"/>
        <w:rPr>
          <w:sz w:val="20"/>
          <w:szCs w:val="20"/>
          <w:color w:val="auto"/>
        </w:rPr>
      </w:pPr>
    </w:p>
    <w:p>
      <w:pPr>
        <w:ind w:firstLine="921"/>
        <w:spacing w:after="0" w:line="285" w:lineRule="auto"/>
        <w:tabs>
          <w:tab w:leader="none" w:pos="1168" w:val="left"/>
        </w:tabs>
        <w:numPr>
          <w:ilvl w:val="0"/>
          <w:numId w:val="336"/>
        </w:numPr>
        <w:rPr>
          <w:rFonts w:ascii="Arial" w:cs="Arial" w:eastAsia="Arial" w:hAnsi="Arial"/>
          <w:sz w:val="16"/>
          <w:szCs w:val="16"/>
          <w:color w:val="auto"/>
        </w:rPr>
      </w:pPr>
      <w:r>
        <w:rPr>
          <w:rFonts w:ascii="Arial" w:cs="Arial" w:eastAsia="Arial" w:hAnsi="Arial"/>
          <w:sz w:val="16"/>
          <w:szCs w:val="16"/>
          <w:color w:val="auto"/>
        </w:rPr>
        <w:t>Prior to the relevant taxable or tax withholding event, as applicable, you agree to make adequate arrangements satisfactorily to the Company and/or the Employer to satisfy all Tax-Related Items. In this regard, you authorize the Company and/or the Employer, or their respective agents, at their discretion, to satisfy their withholding obligations with regard to all Tax-Related Items by: (i) withholding from your wages or any other cash compensation otherwise payable to you by the Company and/or Employer; (ii) causing you to tender a cash payment; (iii) permitting or requiring you to enter into a “same day sale” commitment, if applicable, with a broker-dealer that is a member of the Financial Industry Regulatory Authority (a “</w:t>
      </w:r>
      <w:r>
        <w:rPr>
          <w:rFonts w:ascii="Arial" w:cs="Arial" w:eastAsia="Arial" w:hAnsi="Arial"/>
          <w:sz w:val="16"/>
          <w:szCs w:val="16"/>
          <w:b w:val="1"/>
          <w:bCs w:val="1"/>
          <w:i w:val="1"/>
          <w:iCs w:val="1"/>
          <w:color w:val="auto"/>
        </w:rPr>
        <w:t>FINRA Dealer</w:t>
      </w:r>
      <w:r>
        <w:rPr>
          <w:rFonts w:ascii="Arial" w:cs="Arial" w:eastAsia="Arial" w:hAnsi="Arial"/>
          <w:sz w:val="16"/>
          <w:szCs w:val="16"/>
          <w:color w:val="auto"/>
        </w:rPr>
        <w:t xml:space="preserve">”) (pursuant to this authorization and without further consent) whereby you irrevocably elect to sell a portion of the shares to be delivered in connection with your Restricted Stock Units to satisfy the Tax-Related Items and whereby the FINRA Dealer irrevocably commits to forward the proceeds necessary to satisfy the Tax-Related Items directly to the Company and its Affiliates; or (iv) withholding shares of Common Stock from the shares of Common Stock issued or otherwise issuable to you in connection with the Award with a Fair Market Value (measured as of the date shares of Common Stock are issued to you pursuant to Section 6) equal to the amount of such Tax-Related Items;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you are an Officer, then the Company will withhold a number of shares of Common Stock upon the relevant taxable or tax withholding event, as applicable, unless the use of such withholding method is not feasible under applicable tax or securities law or has materially adverse accounting consequences, in which case, the obligation for Tax-Related Items may be satisfied by one or a combination of methods (i)-(iii) above. Depending on the withholding method, the Company or the Employer may withhold or account for Tax-Related Items by considering applicable minimum statutory withholding amounts or other applicable withholding rates, including maximum applicable rates, in which case you may receive a refund of any over-withheld amount in cash and will have no entitlement to the Common Stock equivalent. If the obligation for Tax-Related Items is satisfied by withholding in s number of shares of Common Stock, for tax purposes, you will be deemed to have been issued the full number of shares of Common Stock subject to the vested Restricted Stock Units, notwithstanding that a number of the shares of Common Stock are held back solely for the purpose of paying the Tax-Related Items. However, the Company does not guarantee that you will be able to satisfy the Tax-Related Items through any of the methods described in the preceding provisions and in all circumstances you remain responsible for timely and fully satisfying the Tax-Related Items.</w:t>
      </w:r>
    </w:p>
    <w:p>
      <w:pPr>
        <w:spacing w:after="0" w:line="62" w:lineRule="exact"/>
        <w:rPr>
          <w:rFonts w:ascii="Arial" w:cs="Arial" w:eastAsia="Arial" w:hAnsi="Arial"/>
          <w:sz w:val="16"/>
          <w:szCs w:val="16"/>
          <w:color w:val="auto"/>
        </w:rPr>
      </w:pPr>
    </w:p>
    <w:p>
      <w:pPr>
        <w:ind w:right="460" w:firstLine="921"/>
        <w:spacing w:after="0" w:line="277" w:lineRule="auto"/>
        <w:tabs>
          <w:tab w:leader="none" w:pos="115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Unless the Tax-Related Items of the Company and any Affiliate are satisfied, the Company will have no obligation to deliver to you any Common Stock or other consideration pursuant to this Award.</w:t>
      </w:r>
    </w:p>
    <w:p>
      <w:pPr>
        <w:spacing w:after="0" w:line="62"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In the event the Company’s obligation to withhold arises prior to the delivery to you of Common Stock or it is determined after the delivery of Common Stock to you that the amount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344" w:name="page345"/>
    <w:bookmarkEnd w:id="344"/>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withholding obligation was greater than the amount withheld by the Company, you agree to indemnify and hold the Company harmless from any failure by the Company to withhold the proper amount.</w:t>
      </w:r>
    </w:p>
    <w:p>
      <w:pPr>
        <w:spacing w:after="0" w:line="166" w:lineRule="exact"/>
        <w:rPr>
          <w:sz w:val="20"/>
          <w:szCs w:val="20"/>
          <w:color w:val="auto"/>
        </w:rPr>
      </w:pPr>
    </w:p>
    <w:p>
      <w:pPr>
        <w:ind w:left="720" w:hanging="256"/>
        <w:spacing w:after="0"/>
        <w:tabs>
          <w:tab w:leader="none" w:pos="72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WARD NOT 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ONTRACT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921"/>
        <w:spacing w:after="0" w:line="270" w:lineRule="auto"/>
        <w:tabs>
          <w:tab w:leader="none" w:pos="1158" w:val="left"/>
        </w:tabs>
        <w:numPr>
          <w:ilvl w:val="1"/>
          <w:numId w:val="337"/>
        </w:numPr>
        <w:rPr>
          <w:rFonts w:ascii="Arial" w:cs="Arial" w:eastAsia="Arial" w:hAnsi="Arial"/>
          <w:sz w:val="17"/>
          <w:szCs w:val="17"/>
          <w:color w:val="auto"/>
        </w:rPr>
      </w:pPr>
      <w:r>
        <w:rPr>
          <w:rFonts w:ascii="Arial" w:cs="Arial" w:eastAsia="Arial" w:hAnsi="Arial"/>
          <w:sz w:val="17"/>
          <w:szCs w:val="17"/>
          <w:color w:val="auto"/>
        </w:rPr>
        <w:t>Your Continuous Service with the Company, the Employer or any other Affiliate is not for any specified term and may be terminated by you or by the Company, the Employer or any other Affiliate at any time, for any reason, with or without cause and with or without notice. Nothing in this Award Agreement (including, but not limited to, the vesting of your Award or the issuance of the shares subject to your Award), the Plan or any covenant of good faith and fair dealing that may be found implicit in this Award Agreement or the Plan will: (i) confer upon you any right to continue in the employ of, or affiliation with the Employer; (ii) constitute any promise or commitment by the Company, the Employer or any other Affiliate regarding the fact or nature of future positions, future work assignments, future compensation or any other term or condition of employment or affiliation; (iii) confer any right or benefit under this Award Agreement or the Plan unless such right or benefit has specifically accrued under the terms of this Award Agreement or Plan; or (iv) deprive the Company or the Employer of the right to terminate you at any time and without regard to any future vesting opportunity that you may have. Finally, the grant of the Award shall not be interpreted as forming an employment or service contract with the Company.</w:t>
      </w:r>
    </w:p>
    <w:p>
      <w:pPr>
        <w:spacing w:after="0" w:line="73" w:lineRule="exact"/>
        <w:rPr>
          <w:rFonts w:ascii="Arial" w:cs="Arial" w:eastAsia="Arial" w:hAnsi="Arial"/>
          <w:sz w:val="17"/>
          <w:szCs w:val="17"/>
          <w:color w:val="auto"/>
        </w:rPr>
      </w:pPr>
    </w:p>
    <w:p>
      <w:pPr>
        <w:ind w:right="20" w:firstLine="921"/>
        <w:spacing w:after="0" w:line="288" w:lineRule="auto"/>
        <w:tabs>
          <w:tab w:leader="none" w:pos="1168" w:val="left"/>
        </w:tabs>
        <w:numPr>
          <w:ilvl w:val="1"/>
          <w:numId w:val="337"/>
        </w:numPr>
        <w:rPr>
          <w:rFonts w:ascii="Arial" w:cs="Arial" w:eastAsia="Arial" w:hAnsi="Arial"/>
          <w:sz w:val="16"/>
          <w:szCs w:val="16"/>
          <w:color w:val="auto"/>
        </w:rPr>
      </w:pPr>
      <w:r>
        <w:rPr>
          <w:rFonts w:ascii="Arial" w:cs="Arial" w:eastAsia="Arial" w:hAnsi="Arial"/>
          <w:sz w:val="16"/>
          <w:szCs w:val="16"/>
          <w:color w:val="auto"/>
        </w:rPr>
        <w:t>By accepting this Award, you acknowledge and agree that the right to continue vesting in the Award is earned only by continuing as an Employee, Director or Consultant at the will of the Company, the Employer or any other Affiliate and that the Company has the right to reorganize, sell, spin-out or otherwise restructure one or more of its businesses or Affiliates at any time or from time to time, as it deems appropriate (a “</w:t>
      </w:r>
      <w:r>
        <w:rPr>
          <w:rFonts w:ascii="Arial" w:cs="Arial" w:eastAsia="Arial" w:hAnsi="Arial"/>
          <w:sz w:val="16"/>
          <w:szCs w:val="16"/>
          <w:b w:val="1"/>
          <w:bCs w:val="1"/>
          <w:i w:val="1"/>
          <w:iCs w:val="1"/>
          <w:color w:val="auto"/>
        </w:rPr>
        <w:t>reorganization</w:t>
      </w:r>
      <w:r>
        <w:rPr>
          <w:rFonts w:ascii="Arial" w:cs="Arial" w:eastAsia="Arial" w:hAnsi="Arial"/>
          <w:sz w:val="16"/>
          <w:szCs w:val="16"/>
          <w:color w:val="auto"/>
        </w:rPr>
        <w:t>”). You further acknowledge and agree that such a reorganization could result in the termination of your Continuous Service, or the termination of Affiliate status of the Employer and the loss of benefits available to you under this Award Agreement, including but not limited to, the termination of the right to continue vesting in the Award. You further acknowledge and agree that this Award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Award Agreement, for any period, or at all, and will not interfere in any way with your right or the right of the Company, the Employer or any other Affiliate to terminate your Continuous Service at any time, with or without cause and with or without notice, and will not interfere in any way with the Company’s right to conduct a reorganization.</w:t>
      </w:r>
    </w:p>
    <w:p>
      <w:pPr>
        <w:spacing w:after="0" w:line="165" w:lineRule="exact"/>
        <w:rPr>
          <w:rFonts w:ascii="Arial" w:cs="Arial" w:eastAsia="Arial" w:hAnsi="Arial"/>
          <w:sz w:val="16"/>
          <w:szCs w:val="16"/>
          <w:color w:val="auto"/>
        </w:rPr>
      </w:pPr>
    </w:p>
    <w:p>
      <w:pPr>
        <w:ind w:left="740" w:hanging="276"/>
        <w:spacing w:after="0"/>
        <w:tabs>
          <w:tab w:leader="none" w:pos="74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ATURE OF</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RANT</w:t>
      </w:r>
      <w:r>
        <w:rPr>
          <w:rFonts w:ascii="Arial" w:cs="Arial" w:eastAsia="Arial" w:hAnsi="Arial"/>
          <w:sz w:val="18"/>
          <w:szCs w:val="18"/>
          <w:b w:val="1"/>
          <w:bCs w:val="1"/>
          <w:color w:val="auto"/>
        </w:rPr>
        <w:t xml:space="preserve">. </w:t>
      </w:r>
      <w:r>
        <w:rPr>
          <w:rFonts w:ascii="Arial" w:cs="Arial" w:eastAsia="Arial" w:hAnsi="Arial"/>
          <w:sz w:val="18"/>
          <w:szCs w:val="18"/>
          <w:color w:val="auto"/>
        </w:rPr>
        <w:t>In accepting your Award, you acknowledge, understand and agree that:</w:t>
      </w:r>
    </w:p>
    <w:p>
      <w:pPr>
        <w:spacing w:after="0" w:line="121" w:lineRule="exact"/>
        <w:rPr>
          <w:rFonts w:ascii="Arial" w:cs="Arial" w:eastAsia="Arial" w:hAnsi="Arial"/>
          <w:sz w:val="18"/>
          <w:szCs w:val="18"/>
          <w:b w:val="1"/>
          <w:bCs w:val="1"/>
          <w:color w:val="auto"/>
        </w:rPr>
      </w:pPr>
    </w:p>
    <w:p>
      <w:pPr>
        <w:ind w:right="40" w:firstLine="921"/>
        <w:spacing w:after="0" w:line="277" w:lineRule="auto"/>
        <w:tabs>
          <w:tab w:leader="none" w:pos="1158"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under the Plan;</w:t>
      </w:r>
    </w:p>
    <w:p>
      <w:pPr>
        <w:spacing w:after="0" w:line="62" w:lineRule="exact"/>
        <w:rPr>
          <w:rFonts w:ascii="Arial" w:cs="Arial" w:eastAsia="Arial" w:hAnsi="Arial"/>
          <w:sz w:val="18"/>
          <w:szCs w:val="18"/>
          <w:color w:val="auto"/>
        </w:rPr>
      </w:pPr>
    </w:p>
    <w:p>
      <w:pPr>
        <w:ind w:firstLine="921"/>
        <w:spacing w:after="0" w:line="277" w:lineRule="auto"/>
        <w:tabs>
          <w:tab w:leader="none" w:pos="1168"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Award is exceptional, voluntary and occasional and does not create any contractual or other right to receive future Awards (whether on the same or different terms), or benefits in lieu of an Award, even if an Award has been granted in the past;</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all decisions with respect to future awards of Restricted Stock Units or other grants, if any, will be at the sole discretion of the Company;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45" w:name="page346"/>
    <w:bookmarkEnd w:id="345"/>
    <w:p>
      <w:pPr>
        <w:ind w:left="1080" w:hanging="259"/>
        <w:spacing w:after="0"/>
        <w:tabs>
          <w:tab w:leader="none" w:pos="10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are voluntarily participating in the Plan;</w:t>
      </w:r>
    </w:p>
    <w:p>
      <w:pPr>
        <w:spacing w:after="0" w:line="117" w:lineRule="exact"/>
        <w:rPr>
          <w:rFonts w:ascii="Arial" w:cs="Arial" w:eastAsia="Arial" w:hAnsi="Arial"/>
          <w:sz w:val="18"/>
          <w:szCs w:val="18"/>
          <w:color w:val="auto"/>
        </w:rPr>
      </w:pPr>
    </w:p>
    <w:p>
      <w:pPr>
        <w:ind w:left="1060" w:hanging="239"/>
        <w:spacing w:after="0"/>
        <w:tabs>
          <w:tab w:leader="none" w:pos="106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the future value of the shares of Common Stock underlying the Award is unknown, indeterminable and cannot be predicted with certainty;</w:t>
      </w:r>
    </w:p>
    <w:p>
      <w:pPr>
        <w:spacing w:after="0" w:line="140" w:lineRule="exact"/>
        <w:rPr>
          <w:rFonts w:ascii="Arial" w:cs="Arial" w:eastAsia="Arial" w:hAnsi="Arial"/>
          <w:sz w:val="16"/>
          <w:szCs w:val="16"/>
          <w:color w:val="auto"/>
        </w:rPr>
      </w:pPr>
    </w:p>
    <w:p>
      <w:pPr>
        <w:ind w:left="-100" w:firstLine="921"/>
        <w:spacing w:after="0" w:line="259" w:lineRule="auto"/>
        <w:tabs>
          <w:tab w:leader="none" w:pos="1038" w:val="left"/>
        </w:tabs>
        <w:numPr>
          <w:ilvl w:val="1"/>
          <w:numId w:val="338"/>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termination of your Continuous Service (for any reason whatsoever whether or not later found to be invalid or in breach of employment laws in the jurisdiction where you are employed or rendering services or the terms of your employment agreement, if any), and in consideration of the grant of the Award, you agree not to institute any claim against the Company or any Affiliate;</w:t>
      </w:r>
    </w:p>
    <w:p>
      <w:pPr>
        <w:spacing w:after="0" w:line="78" w:lineRule="exact"/>
        <w:rPr>
          <w:rFonts w:ascii="Arial" w:cs="Arial" w:eastAsia="Arial" w:hAnsi="Arial"/>
          <w:sz w:val="18"/>
          <w:szCs w:val="18"/>
          <w:color w:val="auto"/>
        </w:rPr>
      </w:pPr>
    </w:p>
    <w:p>
      <w:pPr>
        <w:ind w:left="-100" w:right="20" w:firstLine="921"/>
        <w:spacing w:after="0" w:line="264" w:lineRule="auto"/>
        <w:tabs>
          <w:tab w:leader="none" w:pos="1068" w:val="left"/>
        </w:tabs>
        <w:numPr>
          <w:ilvl w:val="1"/>
          <w:numId w:val="338"/>
        </w:numPr>
        <w:rPr>
          <w:rFonts w:ascii="Arial" w:cs="Arial" w:eastAsia="Arial" w:hAnsi="Arial"/>
          <w:sz w:val="18"/>
          <w:szCs w:val="18"/>
          <w:color w:val="auto"/>
        </w:rPr>
      </w:pPr>
      <w:r>
        <w:rPr>
          <w:rFonts w:ascii="Arial" w:cs="Arial" w:eastAsia="Arial" w:hAnsi="Arial"/>
          <w:sz w:val="18"/>
          <w:szCs w:val="18"/>
          <w:color w:val="auto"/>
        </w:rPr>
        <w:t>unless otherwise provided herein, in the Plan or by the Company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of Common Stock; and</w:t>
      </w:r>
    </w:p>
    <w:p>
      <w:pPr>
        <w:spacing w:after="0" w:line="73" w:lineRule="exact"/>
        <w:rPr>
          <w:rFonts w:ascii="Arial" w:cs="Arial" w:eastAsia="Arial" w:hAnsi="Arial"/>
          <w:sz w:val="18"/>
          <w:szCs w:val="18"/>
          <w:color w:val="auto"/>
        </w:rPr>
      </w:pPr>
    </w:p>
    <w:p>
      <w:pPr>
        <w:ind w:left="-100" w:right="180" w:firstLine="921"/>
        <w:spacing w:after="0" w:line="308" w:lineRule="auto"/>
        <w:tabs>
          <w:tab w:leader="none" w:pos="1068" w:val="left"/>
        </w:tabs>
        <w:numPr>
          <w:ilvl w:val="1"/>
          <w:numId w:val="338"/>
        </w:numPr>
        <w:rPr>
          <w:rFonts w:ascii="Arial" w:cs="Arial" w:eastAsia="Arial" w:hAnsi="Arial"/>
          <w:sz w:val="17"/>
          <w:szCs w:val="17"/>
          <w:color w:val="auto"/>
        </w:rPr>
      </w:pPr>
      <w:r>
        <w:rPr>
          <w:rFonts w:ascii="Arial" w:cs="Arial" w:eastAsia="Arial" w:hAnsi="Arial"/>
          <w:sz w:val="17"/>
          <w:szCs w:val="17"/>
          <w:color w:val="auto"/>
        </w:rPr>
        <w:t>unless otherwise agreed with the Company, the Award and the shares of Common Stock subject to the Award, and the income and value of same, are not granted as consideration for, or in connection with, the service you may provide as a director of an Affiliate.</w:t>
      </w:r>
    </w:p>
    <w:p>
      <w:pPr>
        <w:spacing w:after="0" w:line="142" w:lineRule="exact"/>
        <w:rPr>
          <w:rFonts w:ascii="Arial" w:cs="Arial" w:eastAsia="Arial" w:hAnsi="Arial"/>
          <w:sz w:val="17"/>
          <w:szCs w:val="17"/>
          <w:color w:val="auto"/>
        </w:rPr>
      </w:pPr>
    </w:p>
    <w:p>
      <w:pPr>
        <w:ind w:left="-100" w:right="100" w:firstLine="464"/>
        <w:spacing w:after="0" w:line="314" w:lineRule="auto"/>
        <w:tabs>
          <w:tab w:leader="none" w:pos="626" w:val="left"/>
        </w:tabs>
        <w:numPr>
          <w:ilvl w:val="0"/>
          <w:numId w:val="339"/>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DVICE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EGARDING</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RANT</w:t>
      </w:r>
      <w:r>
        <w:rPr>
          <w:rFonts w:ascii="Arial" w:cs="Arial" w:eastAsia="Arial" w:hAnsi="Arial"/>
          <w:sz w:val="16"/>
          <w:szCs w:val="16"/>
          <w:color w:val="auto"/>
        </w:rPr>
        <w:t>. The Company is not providing any tax, legal or financial advice, nor is the Company making any</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regarding your participation in the Plan, or your acquisition or sale of the underlying shares of Common Stock. You are hereby advised to consult with your own personal tax, legal and financial advisors regarding your participation in the Plan before taking any action related to the Plan.</w:t>
      </w:r>
    </w:p>
    <w:p>
      <w:pPr>
        <w:spacing w:after="0" w:line="142" w:lineRule="exact"/>
        <w:rPr>
          <w:rFonts w:ascii="Arial" w:cs="Arial" w:eastAsia="Arial" w:hAnsi="Arial"/>
          <w:sz w:val="16"/>
          <w:szCs w:val="16"/>
          <w:b w:val="1"/>
          <w:bCs w:val="1"/>
          <w:color w:val="auto"/>
        </w:rPr>
      </w:pPr>
    </w:p>
    <w:p>
      <w:pPr>
        <w:ind w:left="-100" w:right="20" w:firstLine="464"/>
        <w:spacing w:after="0" w:line="256" w:lineRule="auto"/>
        <w:tabs>
          <w:tab w:leader="none" w:pos="626"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NSECURED</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w:t>
      </w:r>
      <w:r>
        <w:rPr>
          <w:rFonts w:ascii="Arial" w:cs="Arial" w:eastAsia="Arial" w:hAnsi="Arial"/>
          <w:sz w:val="18"/>
          <w:szCs w:val="18"/>
          <w:color w:val="auto"/>
        </w:rPr>
        <w:t>. Your Award is unfunded, and as a holder of a vested Award, you will be considered an unsecured creditor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respect to the Company’s obligation, if any, to issue shares or other property pursuant to this Award Agreement. You will not have voting or any other rights as a stockholder of the Company with respect to the shares to be issued pursuant to this Award Agreement until such shares are issued to you pursuant to Section 6 of this Award Agreement. Upon such issuance, you will obtain full voting and other rights as a stockholder of the Company. Nothing contained in this Award Agreement, and no action taken pursuant to its provisions, will create or be construed to create a trust of any kind or a fiduciary relationship between you and the Company or any other person.</w:t>
      </w:r>
    </w:p>
    <w:p>
      <w:pPr>
        <w:spacing w:after="0" w:line="187" w:lineRule="exact"/>
        <w:rPr>
          <w:rFonts w:ascii="Arial" w:cs="Arial" w:eastAsia="Arial" w:hAnsi="Arial"/>
          <w:sz w:val="18"/>
          <w:szCs w:val="18"/>
          <w:b w:val="1"/>
          <w:bCs w:val="1"/>
          <w:color w:val="auto"/>
        </w:rPr>
      </w:pPr>
    </w:p>
    <w:p>
      <w:pPr>
        <w:ind w:left="-100" w:right="40" w:firstLine="464"/>
        <w:spacing w:after="0" w:line="258" w:lineRule="auto"/>
        <w:tabs>
          <w:tab w:leader="none" w:pos="626"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OTICES</w:t>
      </w:r>
      <w:r>
        <w:rPr>
          <w:rFonts w:ascii="Arial" w:cs="Arial" w:eastAsia="Arial" w:hAnsi="Arial"/>
          <w:sz w:val="18"/>
          <w:szCs w:val="18"/>
          <w:color w:val="auto"/>
        </w:rPr>
        <w:t>. Any notice or request required or permitted hereunder will be given in writing to each of the other parties hereto and will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to the Company at its primary executive offices, attention: Stock Plan Administrator, and addressed to you at your address as on file with the Company at the time notice is given.</w:t>
      </w:r>
    </w:p>
    <w:p>
      <w:pPr>
        <w:spacing w:after="0" w:line="183" w:lineRule="exact"/>
        <w:rPr>
          <w:rFonts w:ascii="Arial" w:cs="Arial" w:eastAsia="Arial" w:hAnsi="Arial"/>
          <w:sz w:val="18"/>
          <w:szCs w:val="18"/>
          <w:b w:val="1"/>
          <w:bCs w:val="1"/>
          <w:color w:val="auto"/>
        </w:rPr>
      </w:pPr>
    </w:p>
    <w:p>
      <w:pPr>
        <w:ind w:left="-100" w:right="20" w:firstLine="464"/>
        <w:spacing w:after="0" w:line="282" w:lineRule="auto"/>
        <w:tabs>
          <w:tab w:leader="none" w:pos="626"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H</w:t>
      </w:r>
      <w:r>
        <w:rPr>
          <w:rFonts w:ascii="Arial" w:cs="Arial" w:eastAsia="Arial" w:hAnsi="Arial"/>
          <w:sz w:val="15"/>
          <w:szCs w:val="15"/>
          <w:b w:val="1"/>
          <w:bCs w:val="1"/>
          <w:color w:val="auto"/>
        </w:rPr>
        <w:t>EADINGS</w:t>
      </w:r>
      <w:r>
        <w:rPr>
          <w:rFonts w:ascii="Arial" w:cs="Arial" w:eastAsia="Arial" w:hAnsi="Arial"/>
          <w:sz w:val="18"/>
          <w:szCs w:val="18"/>
          <w:color w:val="auto"/>
        </w:rPr>
        <w:t>. The headings of the Sections in this Award Agreement are inserted for convenience only and will not be deemed to constitute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Agreement or to affect the meaning of this Award Agreement.</w:t>
      </w:r>
    </w:p>
    <w:p>
      <w:pPr>
        <w:spacing w:after="0" w:line="161" w:lineRule="exact"/>
        <w:rPr>
          <w:rFonts w:ascii="Arial" w:cs="Arial" w:eastAsia="Arial" w:hAnsi="Arial"/>
          <w:sz w:val="18"/>
          <w:szCs w:val="18"/>
          <w:b w:val="1"/>
          <w:bCs w:val="1"/>
          <w:color w:val="auto"/>
        </w:rPr>
      </w:pPr>
    </w:p>
    <w:p>
      <w:pPr>
        <w:ind w:left="-100" w:right="200" w:firstLine="464"/>
        <w:spacing w:after="0" w:line="282" w:lineRule="auto"/>
        <w:tabs>
          <w:tab w:leader="none" w:pos="626"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OCUMENT</w:t>
      </w:r>
      <w:r>
        <w:rPr>
          <w:rFonts w:ascii="Arial" w:cs="Arial" w:eastAsia="Arial" w:hAnsi="Arial"/>
          <w:sz w:val="18"/>
          <w:szCs w:val="18"/>
          <w:color w:val="auto"/>
        </w:rPr>
        <w:t>. Your Award is subject to all the provisions of the Plan, the provisions of which are hereby made a part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Award, and is further subject to all interpretations,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40" w:top="274" w:right="319" w:bottom="1440" w:gutter="0" w:footer="0" w:header="0"/>
        </w:sectPr>
      </w:pPr>
    </w:p>
    <w:bookmarkStart w:id="346" w:name="page347"/>
    <w:bookmarkEnd w:id="346"/>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rules and regulations which may from time to time be promulgated and adopted pursuant to the Plan. Your Award (and any compensation paid or shares issued under your Award) is subject to recoupment in accordance with The U.S.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54" w:lineRule="exact"/>
        <w:rPr>
          <w:sz w:val="20"/>
          <w:szCs w:val="20"/>
          <w:color w:val="auto"/>
        </w:rPr>
      </w:pPr>
    </w:p>
    <w:p>
      <w:pPr>
        <w:ind w:left="740" w:hanging="276"/>
        <w:spacing w:after="0"/>
        <w:tabs>
          <w:tab w:leader="none" w:pos="740" w:val="left"/>
        </w:tabs>
        <w:numPr>
          <w:ilvl w:val="1"/>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3"/>
          <w:szCs w:val="13"/>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16"/>
          <w:szCs w:val="16"/>
          <w:color w:val="auto"/>
        </w:rPr>
        <w:t>. You hereby acknowledge receipt of and the right to receive a document providing the information required by Rule 428(b)</w:t>
      </w:r>
    </w:p>
    <w:p>
      <w:pPr>
        <w:spacing w:after="0" w:line="50" w:lineRule="exact"/>
        <w:rPr>
          <w:rFonts w:ascii="Arial" w:cs="Arial" w:eastAsia="Arial" w:hAnsi="Arial"/>
          <w:sz w:val="16"/>
          <w:szCs w:val="16"/>
          <w:b w:val="1"/>
          <w:bCs w:val="1"/>
          <w:color w:val="auto"/>
        </w:rPr>
      </w:pPr>
    </w:p>
    <w:p>
      <w:pPr>
        <w:ind w:right="460" w:firstLine="8"/>
        <w:spacing w:after="0" w:line="323" w:lineRule="auto"/>
        <w:tabs>
          <w:tab w:leader="none" w:pos="25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34" w:lineRule="exact"/>
        <w:rPr>
          <w:rFonts w:ascii="Arial" w:cs="Arial" w:eastAsia="Arial" w:hAnsi="Arial"/>
          <w:sz w:val="16"/>
          <w:szCs w:val="16"/>
          <w:color w:val="auto"/>
        </w:rPr>
      </w:pPr>
    </w:p>
    <w:p>
      <w:pPr>
        <w:jc w:val="both"/>
        <w:ind w:firstLine="464"/>
        <w:spacing w:after="0" w:line="261" w:lineRule="auto"/>
        <w:tabs>
          <w:tab w:leader="none" w:pos="726" w:val="left"/>
        </w:tabs>
        <w:numPr>
          <w:ilvl w:val="1"/>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EVERABILITY</w:t>
      </w:r>
      <w:r>
        <w:rPr>
          <w:rFonts w:ascii="Arial" w:cs="Arial" w:eastAsia="Arial" w:hAnsi="Arial"/>
          <w:sz w:val="18"/>
          <w:szCs w:val="18"/>
          <w:color w:val="auto"/>
        </w:rPr>
        <w:t>. If all or any part of this Award Agreement or the Plan is declared by any court or governmental authority to be unlawful or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such unlawfulness or invalidity will not invalidate any portion of this Award Agreement or the Plan not declared to be unlawful or invalid. Any Section of this Award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0" w:lineRule="exact"/>
        <w:rPr>
          <w:rFonts w:ascii="Arial" w:cs="Arial" w:eastAsia="Arial" w:hAnsi="Arial"/>
          <w:sz w:val="18"/>
          <w:szCs w:val="18"/>
          <w:b w:val="1"/>
          <w:bCs w:val="1"/>
          <w:color w:val="auto"/>
        </w:rPr>
      </w:pPr>
    </w:p>
    <w:p>
      <w:pPr>
        <w:ind w:right="80" w:firstLine="464"/>
        <w:spacing w:after="0" w:line="298" w:lineRule="auto"/>
        <w:tabs>
          <w:tab w:leader="none" w:pos="726" w:val="left"/>
        </w:tabs>
        <w:numPr>
          <w:ilvl w:val="1"/>
          <w:numId w:val="341"/>
        </w:numPr>
        <w:rPr>
          <w:rFonts w:ascii="Arial" w:cs="Arial" w:eastAsia="Arial" w:hAnsi="Arial"/>
          <w:sz w:val="16"/>
          <w:szCs w:val="16"/>
          <w:b w:val="1"/>
          <w:bCs w:val="1"/>
          <w:color w:val="auto"/>
        </w:rPr>
      </w:pPr>
      <w:r>
        <w:rPr>
          <w:rFonts w:ascii="Arial" w:cs="Arial" w:eastAsia="Arial" w:hAnsi="Arial"/>
          <w:sz w:val="16"/>
          <w:szCs w:val="16"/>
          <w:b w:val="1"/>
          <w:bCs w:val="1"/>
          <w:color w:val="auto"/>
        </w:rPr>
        <w:t>I</w:t>
      </w:r>
      <w:r>
        <w:rPr>
          <w:rFonts w:ascii="Arial" w:cs="Arial" w:eastAsia="Arial" w:hAnsi="Arial"/>
          <w:sz w:val="13"/>
          <w:szCs w:val="13"/>
          <w:b w:val="1"/>
          <w:bCs w:val="1"/>
          <w:color w:val="auto"/>
        </w:rPr>
        <w:t>NSIDER</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ESTRICTIONS</w:t>
      </w:r>
      <w:r>
        <w:rPr>
          <w:rFonts w:ascii="Arial" w:cs="Arial" w:eastAsia="Arial" w:hAnsi="Arial"/>
          <w:sz w:val="16"/>
          <w:szCs w:val="16"/>
          <w:b w:val="1"/>
          <w:bCs w:val="1"/>
          <w:color w:val="auto"/>
        </w:rPr>
        <w:t>/M</w:t>
      </w:r>
      <w:r>
        <w:rPr>
          <w:rFonts w:ascii="Arial" w:cs="Arial" w:eastAsia="Arial" w:hAnsi="Arial"/>
          <w:sz w:val="13"/>
          <w:szCs w:val="13"/>
          <w:b w:val="1"/>
          <w:bCs w:val="1"/>
          <w:color w:val="auto"/>
        </w:rPr>
        <w:t>ARKET</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BUSE</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AWS</w:t>
      </w:r>
      <w:r>
        <w:rPr>
          <w:rFonts w:ascii="Arial" w:cs="Arial" w:eastAsia="Arial" w:hAnsi="Arial"/>
          <w:sz w:val="16"/>
          <w:szCs w:val="16"/>
          <w:color w:val="auto"/>
        </w:rPr>
        <w:t>. You acknowledge that you may be subject to insider trading restrictions and/or</w:t>
      </w:r>
      <w:r>
        <w:rPr>
          <w:rFonts w:ascii="Arial" w:cs="Arial" w:eastAsia="Arial" w:hAnsi="Arial"/>
          <w:sz w:val="16"/>
          <w:szCs w:val="16"/>
          <w:b w:val="1"/>
          <w:bCs w:val="1"/>
          <w:color w:val="auto"/>
        </w:rPr>
        <w:t xml:space="preserve"> </w:t>
      </w:r>
      <w:r>
        <w:rPr>
          <w:rFonts w:ascii="Arial" w:cs="Arial" w:eastAsia="Arial" w:hAnsi="Arial"/>
          <w:sz w:val="16"/>
          <w:szCs w:val="16"/>
          <w:color w:val="auto"/>
        </w:rPr>
        <w:t>market abuse laws, which may affect your ability to acquire or sell the shares of Common Stock or rights to the shares of Common Stock under the Plan during such times as you are considered to have “inside information” regarding the Company (as defined by the laws). Any restrictions under these laws or regulations are separate from and in addition to any restrictions that may be imposed under any applicable Company insider trading policy. You acknowledge that it is your responsibility to comply with any applicable restrictions, and you are advised to speak to your personal advisor on this matter.</w:t>
      </w:r>
    </w:p>
    <w:p>
      <w:pPr>
        <w:spacing w:after="0" w:line="154" w:lineRule="exact"/>
        <w:rPr>
          <w:rFonts w:ascii="Arial" w:cs="Arial" w:eastAsia="Arial" w:hAnsi="Arial"/>
          <w:sz w:val="16"/>
          <w:szCs w:val="16"/>
          <w:b w:val="1"/>
          <w:bCs w:val="1"/>
          <w:color w:val="auto"/>
        </w:rPr>
      </w:pPr>
    </w:p>
    <w:p>
      <w:pPr>
        <w:ind w:right="80" w:firstLine="464"/>
        <w:spacing w:after="0" w:line="289" w:lineRule="auto"/>
        <w:tabs>
          <w:tab w:leader="none" w:pos="726" w:val="left"/>
        </w:tabs>
        <w:numPr>
          <w:ilvl w:val="1"/>
          <w:numId w:val="341"/>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MPOSITION OF</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EQUIREMENTS</w:t>
      </w:r>
      <w:r>
        <w:rPr>
          <w:rFonts w:ascii="Arial" w:cs="Arial" w:eastAsia="Arial" w:hAnsi="Arial"/>
          <w:sz w:val="17"/>
          <w:szCs w:val="17"/>
          <w:color w:val="auto"/>
        </w:rPr>
        <w:t>. The Company reserves the right to impose other requirements on your participation in the Plan, and on</w:t>
      </w:r>
      <w:r>
        <w:rPr>
          <w:rFonts w:ascii="Arial" w:cs="Arial" w:eastAsia="Arial" w:hAnsi="Arial"/>
          <w:sz w:val="17"/>
          <w:szCs w:val="17"/>
          <w:b w:val="1"/>
          <w:bCs w:val="1"/>
          <w:color w:val="auto"/>
        </w:rPr>
        <w:t xml:space="preserve"> </w:t>
      </w:r>
      <w:r>
        <w:rPr>
          <w:rFonts w:ascii="Arial" w:cs="Arial" w:eastAsia="Arial" w:hAnsi="Arial"/>
          <w:sz w:val="17"/>
          <w:szCs w:val="17"/>
          <w:color w:val="auto"/>
        </w:rPr>
        <w:t>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58" w:lineRule="exact"/>
        <w:rPr>
          <w:rFonts w:ascii="Arial" w:cs="Arial" w:eastAsia="Arial" w:hAnsi="Arial"/>
          <w:sz w:val="17"/>
          <w:szCs w:val="17"/>
          <w:b w:val="1"/>
          <w:bCs w:val="1"/>
          <w:color w:val="auto"/>
        </w:rPr>
      </w:pPr>
    </w:p>
    <w:p>
      <w:pPr>
        <w:ind w:right="120" w:firstLine="464"/>
        <w:spacing w:after="0" w:line="281" w:lineRule="auto"/>
        <w:tabs>
          <w:tab w:leader="none" w:pos="726" w:val="left"/>
        </w:tabs>
        <w:numPr>
          <w:ilvl w:val="1"/>
          <w:numId w:val="341"/>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OVERNING</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7"/>
          <w:szCs w:val="17"/>
          <w:b w:val="1"/>
          <w:bCs w:val="1"/>
          <w:color w:val="auto"/>
        </w:rPr>
        <w:t>/V</w:t>
      </w:r>
      <w:r>
        <w:rPr>
          <w:rFonts w:ascii="Arial" w:cs="Arial" w:eastAsia="Arial" w:hAnsi="Arial"/>
          <w:sz w:val="14"/>
          <w:szCs w:val="14"/>
          <w:b w:val="1"/>
          <w:bCs w:val="1"/>
          <w:color w:val="auto"/>
        </w:rPr>
        <w:t>ENUE</w:t>
      </w:r>
      <w:r>
        <w:rPr>
          <w:rFonts w:ascii="Arial" w:cs="Arial" w:eastAsia="Arial" w:hAnsi="Arial"/>
          <w:sz w:val="17"/>
          <w:szCs w:val="17"/>
          <w:color w:val="auto"/>
        </w:rPr>
        <w:t>. The interpretation, performance and enforcement of this Award Agreement will be governed by the law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without regard to that state’s conflicts of laws rules. For purposes of any action, lawsuit or other proceedings brought to enforce this Award Agreement, including its Exhibit, relating to it, or arising from it, the parties hereby submit to and consent to the sole and exclusive jurisdiction of the courts within Santa Clara County, State of California, and no other courts, where this grant is made and/or to be performed.</w:t>
      </w:r>
    </w:p>
    <w:p>
      <w:pPr>
        <w:spacing w:after="0" w:line="164" w:lineRule="exact"/>
        <w:rPr>
          <w:rFonts w:ascii="Arial" w:cs="Arial" w:eastAsia="Arial" w:hAnsi="Arial"/>
          <w:sz w:val="17"/>
          <w:szCs w:val="17"/>
          <w:b w:val="1"/>
          <w:bCs w:val="1"/>
          <w:color w:val="auto"/>
        </w:rPr>
      </w:pPr>
    </w:p>
    <w:p>
      <w:pPr>
        <w:ind w:left="740" w:hanging="276"/>
        <w:spacing w:after="0"/>
        <w:tabs>
          <w:tab w:leader="none" w:pos="740" w:val="left"/>
        </w:tabs>
        <w:numPr>
          <w:ilvl w:val="1"/>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40" w:firstLine="921"/>
        <w:spacing w:after="0" w:line="308" w:lineRule="auto"/>
        <w:tabs>
          <w:tab w:leader="none" w:pos="1158" w:val="left"/>
        </w:tabs>
        <w:numPr>
          <w:ilvl w:val="2"/>
          <w:numId w:val="341"/>
        </w:numPr>
        <w:rPr>
          <w:rFonts w:ascii="Arial" w:cs="Arial" w:eastAsia="Arial" w:hAnsi="Arial"/>
          <w:sz w:val="17"/>
          <w:szCs w:val="17"/>
          <w:color w:val="auto"/>
        </w:rPr>
      </w:pPr>
      <w:r>
        <w:rPr>
          <w:rFonts w:ascii="Arial" w:cs="Arial" w:eastAsia="Arial" w:hAnsi="Arial"/>
          <w:sz w:val="17"/>
          <w:szCs w:val="17"/>
          <w:color w:val="auto"/>
        </w:rPr>
        <w:t>The rights and obligations of the Company under your Award will be transferable by the Company to any one or more persons or entities, and all covenants and agreements hereunder will inure to the benefit of, and be enforceable by, the Company’s successors and assigns.</w:t>
      </w:r>
    </w:p>
    <w:p>
      <w:pPr>
        <w:spacing w:after="0" w:line="38" w:lineRule="exact"/>
        <w:rPr>
          <w:rFonts w:ascii="Arial" w:cs="Arial" w:eastAsia="Arial" w:hAnsi="Arial"/>
          <w:sz w:val="17"/>
          <w:szCs w:val="17"/>
          <w:color w:val="auto"/>
        </w:rPr>
      </w:pPr>
    </w:p>
    <w:p>
      <w:pPr>
        <w:ind w:right="180" w:firstLine="921"/>
        <w:spacing w:after="0" w:line="277" w:lineRule="auto"/>
        <w:tabs>
          <w:tab w:leader="none" w:pos="1161" w:val="left"/>
        </w:tabs>
        <w:numPr>
          <w:ilvl w:val="2"/>
          <w:numId w:val="341"/>
        </w:numPr>
        <w:rPr>
          <w:rFonts w:ascii="Arial" w:cs="Arial" w:eastAsia="Arial" w:hAnsi="Arial"/>
          <w:sz w:val="18"/>
          <w:szCs w:val="18"/>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Award.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47" w:name="page348"/>
    <w:bookmarkEnd w:id="347"/>
    <w:p>
      <w:pPr>
        <w:ind w:right="160" w:firstLine="921"/>
        <w:spacing w:after="0" w:line="277" w:lineRule="auto"/>
        <w:tabs>
          <w:tab w:leader="none" w:pos="1158" w:val="left"/>
        </w:tabs>
        <w:numPr>
          <w:ilvl w:val="1"/>
          <w:numId w:val="3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acknowledge and agree that you have reviewed your Award in its entirety, have had an opportunity to obtain the advice of counsel prior to executing and accepting your Award and fully understand all provisions of your Award.</w:t>
      </w:r>
    </w:p>
    <w:p>
      <w:pPr>
        <w:spacing w:after="0" w:line="62" w:lineRule="exact"/>
        <w:rPr>
          <w:rFonts w:ascii="Arial" w:cs="Arial" w:eastAsia="Arial" w:hAnsi="Arial"/>
          <w:sz w:val="18"/>
          <w:szCs w:val="18"/>
          <w:color w:val="auto"/>
        </w:rPr>
      </w:pPr>
    </w:p>
    <w:p>
      <w:pPr>
        <w:jc w:val="both"/>
        <w:ind w:right="380" w:firstLine="921"/>
        <w:spacing w:after="0" w:line="264" w:lineRule="auto"/>
        <w:tabs>
          <w:tab w:leader="none" w:pos="1168"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All obligations of the Company under the Plan and this Award Agreement will be binding on any successor to the Company, whether the existence of such successor is the result of a direct or indirect purchase, merger, consolidation, or otherwise, of all or substantially all of the business and assets of the Company.</w:t>
      </w:r>
    </w:p>
    <w:p>
      <w:pPr>
        <w:spacing w:after="0" w:line="177" w:lineRule="exact"/>
        <w:rPr>
          <w:rFonts w:ascii="Arial" w:cs="Arial" w:eastAsia="Arial" w:hAnsi="Arial"/>
          <w:sz w:val="18"/>
          <w:szCs w:val="18"/>
          <w:color w:val="auto"/>
        </w:rPr>
      </w:pPr>
    </w:p>
    <w:p>
      <w:pPr>
        <w:ind w:firstLine="464"/>
        <w:spacing w:after="0" w:line="255" w:lineRule="auto"/>
        <w:tabs>
          <w:tab w:leader="none" w:pos="726"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MENDMENT</w:t>
      </w:r>
      <w:r>
        <w:rPr>
          <w:rFonts w:ascii="Arial" w:cs="Arial" w:eastAsia="Arial" w:hAnsi="Arial"/>
          <w:sz w:val="18"/>
          <w:szCs w:val="18"/>
          <w:color w:val="auto"/>
        </w:rPr>
        <w:t>. This Award Agreement may not be modified, amended or terminated except by an instrument in writing, signed by you and by a</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representative of the Company. Notwithstanding the foregoing, this Award Agreement may be amended solely by the Board by a writing which specifically states that it is amending this Award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Award Agreement in any way it may deem necessary or advisable to carry out the purpose of the Award as a result of any change in applicable laws or regulations or any future law, regulation, ruling, or judicial decision, provided that any such change will be applicable only to rights relating to that portion of the Award which is then subject to restrictions as provided herein.</w:t>
      </w:r>
    </w:p>
    <w:p>
      <w:pPr>
        <w:spacing w:after="0" w:line="185" w:lineRule="exact"/>
        <w:rPr>
          <w:rFonts w:ascii="Arial" w:cs="Arial" w:eastAsia="Arial" w:hAnsi="Arial"/>
          <w:sz w:val="18"/>
          <w:szCs w:val="18"/>
          <w:b w:val="1"/>
          <w:bCs w:val="1"/>
          <w:color w:val="auto"/>
        </w:rPr>
      </w:pPr>
    </w:p>
    <w:p>
      <w:pPr>
        <w:ind w:right="40" w:firstLine="464"/>
        <w:spacing w:after="0" w:line="289" w:lineRule="auto"/>
        <w:tabs>
          <w:tab w:leader="none" w:pos="726" w:val="left"/>
        </w:tabs>
        <w:numPr>
          <w:ilvl w:val="0"/>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3"/>
          <w:szCs w:val="13"/>
          <w:b w:val="1"/>
          <w:bCs w:val="1"/>
          <w:color w:val="auto"/>
        </w:rPr>
        <w:t>OMPLIANCE WITH</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16"/>
          <w:szCs w:val="16"/>
          <w:b w:val="1"/>
          <w:bCs w:val="1"/>
          <w:color w:val="auto"/>
        </w:rPr>
        <w:t xml:space="preserve"> 409A </w:t>
      </w:r>
      <w:r>
        <w:rPr>
          <w:rFonts w:ascii="Arial" w:cs="Arial" w:eastAsia="Arial" w:hAnsi="Arial"/>
          <w:sz w:val="13"/>
          <w:szCs w:val="13"/>
          <w:b w:val="1"/>
          <w:bCs w:val="1"/>
          <w:color w:val="auto"/>
        </w:rPr>
        <w:t>OF THE</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ODE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Award is intended to comply with the “short-term deferral” rule set forth in Treasury</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earlier of: (i) the fifth business day following your death, or (ii)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65" w:lineRule="exact"/>
        <w:rPr>
          <w:rFonts w:ascii="Arial" w:cs="Arial" w:eastAsia="Arial" w:hAnsi="Arial"/>
          <w:sz w:val="16"/>
          <w:szCs w:val="16"/>
          <w:b w:val="1"/>
          <w:bCs w:val="1"/>
          <w:color w:val="auto"/>
        </w:rPr>
      </w:pPr>
    </w:p>
    <w:p>
      <w:pPr>
        <w:ind w:left="5400"/>
        <w:spacing w:after="0"/>
        <w:rPr>
          <w:rFonts w:ascii="Arial" w:cs="Arial" w:eastAsia="Arial" w:hAnsi="Arial"/>
          <w:sz w:val="16"/>
          <w:szCs w:val="16"/>
          <w:b w:val="1"/>
          <w:bCs w:val="1"/>
          <w:color w:val="auto"/>
        </w:rPr>
      </w:pPr>
      <w:r>
        <w:rPr>
          <w:rFonts w:ascii="Arial" w:cs="Arial" w:eastAsia="Arial" w:hAnsi="Arial"/>
          <w:sz w:val="18"/>
          <w:szCs w:val="18"/>
          <w:color w:val="auto"/>
        </w:rPr>
        <w:t>* * * * *</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Award Agreement will be deemed to be signed by the Company and you upon your signing or otherwise by your acceptance of the Restricted Stock Unit Grant Notice to which it is attached.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348" w:name="page349"/>
    <w:bookmarkEnd w:id="34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019"/>
          </w:cols>
          <w:pgMar w:left="1440" w:top="270" w:right="1440"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ORTY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EVEN</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IRECTORS</w:t>
      </w:r>
      <w:r>
        <w:rPr>
          <w:rFonts w:ascii="Arial" w:cs="Arial" w:eastAsia="Arial" w:hAnsi="Arial"/>
          <w:sz w:val="18"/>
          <w:szCs w:val="18"/>
          <w:b w:val="1"/>
          <w:bCs w:val="1"/>
          <w:color w:val="auto"/>
        </w:rPr>
        <w:t>: J</w:t>
      </w:r>
      <w:r>
        <w:rPr>
          <w:rFonts w:ascii="Arial" w:cs="Arial" w:eastAsia="Arial" w:hAnsi="Arial"/>
          <w:sz w:val="15"/>
          <w:szCs w:val="15"/>
          <w:b w:val="1"/>
          <w:bCs w:val="1"/>
          <w:color w:val="auto"/>
        </w:rPr>
        <w:t>UNE</w:t>
      </w:r>
      <w:r>
        <w:rPr>
          <w:rFonts w:ascii="Arial" w:cs="Arial" w:eastAsia="Arial" w:hAnsi="Arial"/>
          <w:sz w:val="18"/>
          <w:szCs w:val="18"/>
          <w:b w:val="1"/>
          <w:bCs w:val="1"/>
          <w:color w:val="auto"/>
        </w:rPr>
        <w:t xml:space="preserve"> 13, 2018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TOCKHOLDERS</w:t>
      </w:r>
      <w:r>
        <w:rPr>
          <w:rFonts w:ascii="Arial" w:cs="Arial" w:eastAsia="Arial" w:hAnsi="Arial"/>
          <w:sz w:val="18"/>
          <w:szCs w:val="18"/>
          <w:b w:val="1"/>
          <w:bCs w:val="1"/>
          <w:color w:val="auto"/>
        </w:rPr>
        <w:t>: J</w:t>
      </w:r>
      <w:r>
        <w:rPr>
          <w:rFonts w:ascii="Arial" w:cs="Arial" w:eastAsia="Arial" w:hAnsi="Arial"/>
          <w:sz w:val="15"/>
          <w:szCs w:val="15"/>
          <w:b w:val="1"/>
          <w:bCs w:val="1"/>
          <w:color w:val="auto"/>
        </w:rPr>
        <w:t>UNE</w:t>
      </w:r>
      <w:r>
        <w:rPr>
          <w:rFonts w:ascii="Arial" w:cs="Arial" w:eastAsia="Arial" w:hAnsi="Arial"/>
          <w:sz w:val="18"/>
          <w:szCs w:val="18"/>
          <w:b w:val="1"/>
          <w:bCs w:val="1"/>
          <w:color w:val="auto"/>
        </w:rPr>
        <w:t xml:space="preserve"> 14, 2018</w:t>
      </w:r>
    </w:p>
    <w:tbl>
      <w:tblPr>
        <w:tblLayout w:type="fixed"/>
        <w:tblInd w:w="4020" w:type="dxa"/>
        <w:tblCellMar>
          <w:top w:w="0" w:type="dxa"/>
          <w:left w:w="0" w:type="dxa"/>
          <w:bottom w:w="0" w:type="dxa"/>
          <w:right w:w="0" w:type="dxa"/>
        </w:tblCellMar>
      </w:tblPr>
      <w:tr>
        <w:trPr>
          <w:trHeight w:val="185"/>
        </w:trPr>
        <w:tc>
          <w:tcPr>
            <w:tcW w:w="2340" w:type="dxa"/>
            <w:vAlign w:val="bottom"/>
          </w:tcPr>
          <w:p>
            <w:pPr>
              <w:spacing w:after="0" w:line="185" w:lineRule="exact"/>
              <w:rPr>
                <w:sz w:val="20"/>
                <w:szCs w:val="20"/>
                <w:color w:val="auto"/>
              </w:rPr>
            </w:pPr>
            <w:r>
              <w:rPr>
                <w:rFonts w:ascii="Arial" w:cs="Arial" w:eastAsia="Arial" w:hAnsi="Arial"/>
                <w:sz w:val="18"/>
                <w:szCs w:val="18"/>
                <w:b w:val="1"/>
                <w:bCs w:val="1"/>
                <w:color w:val="auto"/>
                <w:w w:val="99"/>
              </w:rPr>
              <w:t>IPO D</w:t>
            </w:r>
            <w:r>
              <w:rPr>
                <w:rFonts w:ascii="Arial" w:cs="Arial" w:eastAsia="Arial" w:hAnsi="Arial"/>
                <w:sz w:val="15"/>
                <w:szCs w:val="15"/>
                <w:b w:val="1"/>
                <w:bCs w:val="1"/>
                <w:color w:val="auto"/>
                <w:w w:val="99"/>
              </w:rPr>
              <w:t>ATE</w:t>
            </w:r>
            <w:r>
              <w:rPr>
                <w:rFonts w:ascii="Arial" w:cs="Arial" w:eastAsia="Arial" w:hAnsi="Arial"/>
                <w:sz w:val="18"/>
                <w:szCs w:val="18"/>
                <w:b w:val="1"/>
                <w:bCs w:val="1"/>
                <w:color w:val="auto"/>
                <w:w w:val="99"/>
              </w:rPr>
              <w:t>/E</w:t>
            </w:r>
            <w:r>
              <w:rPr>
                <w:rFonts w:ascii="Arial" w:cs="Arial" w:eastAsia="Arial" w:hAnsi="Arial"/>
                <w:sz w:val="15"/>
                <w:szCs w:val="15"/>
                <w:b w:val="1"/>
                <w:bCs w:val="1"/>
                <w:color w:val="auto"/>
                <w:w w:val="99"/>
              </w:rPr>
              <w:t>FFECTIVE</w:t>
            </w:r>
            <w:r>
              <w:rPr>
                <w:rFonts w:ascii="Arial" w:cs="Arial" w:eastAsia="Arial" w:hAnsi="Arial"/>
                <w:sz w:val="18"/>
                <w:szCs w:val="18"/>
                <w:b w:val="1"/>
                <w:bCs w:val="1"/>
                <w:color w:val="auto"/>
                <w:w w:val="99"/>
              </w:rPr>
              <w:t xml:space="preserve"> D</w:t>
            </w:r>
            <w:r>
              <w:rPr>
                <w:rFonts w:ascii="Arial" w:cs="Arial" w:eastAsia="Arial" w:hAnsi="Arial"/>
                <w:sz w:val="15"/>
                <w:szCs w:val="15"/>
                <w:b w:val="1"/>
                <w:bCs w:val="1"/>
                <w:color w:val="auto"/>
                <w:w w:val="99"/>
              </w:rPr>
              <w:t>ATE</w:t>
            </w:r>
            <w:r>
              <w:rPr>
                <w:rFonts w:ascii="Arial" w:cs="Arial" w:eastAsia="Arial" w:hAnsi="Arial"/>
                <w:sz w:val="18"/>
                <w:szCs w:val="18"/>
                <w:b w:val="1"/>
                <w:bCs w:val="1"/>
                <w:color w:val="auto"/>
                <w:w w:val="99"/>
              </w:rPr>
              <w:t>: [</w:t>
            </w:r>
          </w:p>
        </w:tc>
        <w:tc>
          <w:tcPr>
            <w:tcW w:w="540" w:type="dxa"/>
            <w:vAlign w:val="bottom"/>
            <w:tcBorders>
              <w:bottom w:val="single" w:sz="8" w:color="auto"/>
            </w:tcBorders>
          </w:tcPr>
          <w:p>
            <w:pPr>
              <w:spacing w:after="0"/>
              <w:rPr>
                <w:sz w:val="16"/>
                <w:szCs w:val="16"/>
                <w:color w:val="auto"/>
              </w:rPr>
            </w:pPr>
          </w:p>
        </w:tc>
        <w:tc>
          <w:tcPr>
            <w:tcW w:w="520" w:type="dxa"/>
            <w:vAlign w:val="bottom"/>
          </w:tcPr>
          <w:p>
            <w:pPr>
              <w:jc w:val="right"/>
              <w:spacing w:after="0" w:line="185" w:lineRule="exact"/>
              <w:rPr>
                <w:sz w:val="20"/>
                <w:szCs w:val="20"/>
                <w:color w:val="auto"/>
              </w:rPr>
            </w:pPr>
            <w:r>
              <w:rPr>
                <w:rFonts w:ascii="Arial" w:cs="Arial" w:eastAsia="Arial" w:hAnsi="Arial"/>
                <w:sz w:val="18"/>
                <w:szCs w:val="18"/>
                <w:b w:val="1"/>
                <w:bCs w:val="1"/>
                <w:color w:val="auto"/>
                <w:w w:val="89"/>
              </w:rPr>
              <w:t>], 2018</w:t>
            </w:r>
          </w:p>
        </w:tc>
      </w:tr>
    </w:tbl>
    <w:p>
      <w:pPr>
        <w:spacing w:after="0" w:line="252" w:lineRule="exact"/>
        <w:rPr>
          <w:sz w:val="20"/>
          <w:szCs w:val="20"/>
          <w:color w:val="auto"/>
        </w:rPr>
      </w:pPr>
    </w:p>
    <w:p>
      <w:pPr>
        <w:ind w:left="460" w:hanging="452"/>
        <w:spacing w:after="0"/>
        <w:tabs>
          <w:tab w:leader="none" w:pos="4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 P</w:t>
      </w:r>
      <w:r>
        <w:rPr>
          <w:rFonts w:ascii="Arial" w:cs="Arial" w:eastAsia="Arial" w:hAnsi="Arial"/>
          <w:sz w:val="15"/>
          <w:szCs w:val="15"/>
          <w:b w:val="1"/>
          <w:bCs w:val="1"/>
          <w:color w:val="auto"/>
        </w:rPr>
        <w:t>URPOSE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 w:firstLine="464"/>
        <w:spacing w:after="0" w:line="264" w:lineRule="auto"/>
        <w:tabs>
          <w:tab w:leader="none" w:pos="711"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w:t>
      </w:r>
    </w:p>
    <w:p>
      <w:pPr>
        <w:spacing w:after="0" w:line="181" w:lineRule="exact"/>
        <w:rPr>
          <w:rFonts w:ascii="Arial" w:cs="Arial" w:eastAsia="Arial" w:hAnsi="Arial"/>
          <w:sz w:val="18"/>
          <w:szCs w:val="18"/>
          <w:b w:val="1"/>
          <w:bCs w:val="1"/>
          <w:color w:val="auto"/>
        </w:rPr>
      </w:pPr>
    </w:p>
    <w:p>
      <w:pPr>
        <w:ind w:right="400" w:firstLine="464"/>
        <w:spacing w:after="0" w:line="308" w:lineRule="auto"/>
        <w:tabs>
          <w:tab w:leader="none" w:pos="721" w:val="left"/>
        </w:tabs>
        <w:numPr>
          <w:ilvl w:val="1"/>
          <w:numId w:val="344"/>
        </w:numPr>
        <w:rPr>
          <w:rFonts w:ascii="Arial" w:cs="Arial" w:eastAsia="Arial" w:hAnsi="Arial"/>
          <w:sz w:val="17"/>
          <w:szCs w:val="17"/>
          <w:b w:val="1"/>
          <w:bCs w:val="1"/>
          <w:color w:val="auto"/>
        </w:rPr>
      </w:pPr>
      <w:r>
        <w:rPr>
          <w:rFonts w:ascii="Arial" w:cs="Arial" w:eastAsia="Arial" w:hAnsi="Arial"/>
          <w:sz w:val="17"/>
          <w:szCs w:val="17"/>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169" w:lineRule="exact"/>
        <w:rPr>
          <w:rFonts w:ascii="Arial" w:cs="Arial" w:eastAsia="Arial" w:hAnsi="Arial"/>
          <w:sz w:val="17"/>
          <w:szCs w:val="17"/>
          <w:b w:val="1"/>
          <w:bCs w:val="1"/>
          <w:color w:val="auto"/>
        </w:rPr>
      </w:pPr>
    </w:p>
    <w:p>
      <w:pPr>
        <w:ind w:left="460" w:hanging="452"/>
        <w:spacing w:after="0"/>
        <w:tabs>
          <w:tab w:leader="none" w:pos="4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DMINISTRATION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260" w:firstLine="464"/>
        <w:spacing w:after="0" w:line="308" w:lineRule="auto"/>
        <w:tabs>
          <w:tab w:leader="none" w:pos="711" w:val="left"/>
        </w:tabs>
        <w:numPr>
          <w:ilvl w:val="1"/>
          <w:numId w:val="344"/>
        </w:numPr>
        <w:rPr>
          <w:rFonts w:ascii="Arial" w:cs="Arial" w:eastAsia="Arial" w:hAnsi="Arial"/>
          <w:sz w:val="17"/>
          <w:szCs w:val="17"/>
          <w:b w:val="1"/>
          <w:bCs w:val="1"/>
          <w:color w:val="auto"/>
        </w:rPr>
      </w:pPr>
      <w:r>
        <w:rPr>
          <w:rFonts w:ascii="Arial" w:cs="Arial" w:eastAsia="Arial" w:hAnsi="Arial"/>
          <w:sz w:val="17"/>
          <w:szCs w:val="17"/>
          <w:color w:val="auto"/>
        </w:rPr>
        <w:t>The Board will administer the Plan unless and until the Board delegates administration of the Plan to a Committee or Committees, as provided in Section 2(c). References herein to the Board shall be deemed to refer to the Committee where such administration has been delegated.</w:t>
      </w:r>
    </w:p>
    <w:p>
      <w:pPr>
        <w:spacing w:after="0" w:line="38" w:lineRule="exact"/>
        <w:rPr>
          <w:rFonts w:ascii="Arial" w:cs="Arial" w:eastAsia="Arial" w:hAnsi="Arial"/>
          <w:sz w:val="17"/>
          <w:szCs w:val="17"/>
          <w:b w:val="1"/>
          <w:bCs w:val="1"/>
          <w:color w:val="auto"/>
        </w:rPr>
      </w:pPr>
    </w:p>
    <w:p>
      <w:pPr>
        <w:ind w:left="720" w:hanging="256"/>
        <w:spacing w:after="0"/>
        <w:tabs>
          <w:tab w:leader="none" w:pos="720"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117" w:lineRule="exact"/>
        <w:rPr>
          <w:rFonts w:ascii="Arial" w:cs="Arial" w:eastAsia="Arial" w:hAnsi="Arial"/>
          <w:sz w:val="18"/>
          <w:szCs w:val="18"/>
          <w:b w:val="1"/>
          <w:bCs w:val="1"/>
          <w:color w:val="auto"/>
        </w:rPr>
      </w:pPr>
    </w:p>
    <w:p>
      <w:pPr>
        <w:ind w:left="1140" w:hanging="219"/>
        <w:spacing w:after="0"/>
        <w:tabs>
          <w:tab w:leader="none" w:pos="1140" w:val="left"/>
        </w:tabs>
        <w:numPr>
          <w:ilvl w:val="2"/>
          <w:numId w:val="344"/>
        </w:numPr>
        <w:rPr>
          <w:rFonts w:ascii="Arial" w:cs="Arial" w:eastAsia="Arial" w:hAnsi="Arial"/>
          <w:sz w:val="18"/>
          <w:szCs w:val="18"/>
          <w:b w:val="1"/>
          <w:bCs w:val="1"/>
          <w:color w:val="auto"/>
        </w:rPr>
      </w:pPr>
      <w:r>
        <w:rPr>
          <w:rFonts w:ascii="Arial" w:cs="Arial" w:eastAsia="Arial" w:hAnsi="Arial"/>
          <w:sz w:val="18"/>
          <w:szCs w:val="18"/>
          <w:color w:val="auto"/>
        </w:rPr>
        <w:t>To determine how and when Purchase Rights will be granted and the provisions of each Offering (which need not be identical).</w:t>
      </w:r>
    </w:p>
    <w:p>
      <w:pPr>
        <w:spacing w:after="0" w:line="117" w:lineRule="exact"/>
        <w:rPr>
          <w:rFonts w:ascii="Arial" w:cs="Arial" w:eastAsia="Arial" w:hAnsi="Arial"/>
          <w:sz w:val="18"/>
          <w:szCs w:val="18"/>
          <w:b w:val="1"/>
          <w:bCs w:val="1"/>
          <w:color w:val="auto"/>
        </w:rPr>
      </w:pPr>
    </w:p>
    <w:p>
      <w:pPr>
        <w:ind w:left="1180" w:hanging="259"/>
        <w:spacing w:after="0"/>
        <w:tabs>
          <w:tab w:leader="none" w:pos="1180" w:val="left"/>
        </w:tabs>
        <w:numPr>
          <w:ilvl w:val="2"/>
          <w:numId w:val="344"/>
        </w:numPr>
        <w:rPr>
          <w:rFonts w:ascii="Arial" w:cs="Arial" w:eastAsia="Arial" w:hAnsi="Arial"/>
          <w:sz w:val="18"/>
          <w:szCs w:val="18"/>
          <w:b w:val="1"/>
          <w:bCs w:val="1"/>
          <w:color w:val="auto"/>
        </w:rPr>
      </w:pPr>
      <w:r>
        <w:rPr>
          <w:rFonts w:ascii="Arial" w:cs="Arial" w:eastAsia="Arial" w:hAnsi="Arial"/>
          <w:sz w:val="18"/>
          <w:szCs w:val="18"/>
          <w:color w:val="auto"/>
        </w:rPr>
        <w:t>To designate from time to time which Related Corporations of the Company will be eligible to participate in the Plan.</w:t>
      </w:r>
    </w:p>
    <w:p>
      <w:pPr>
        <w:spacing w:after="0" w:line="117" w:lineRule="exact"/>
        <w:rPr>
          <w:rFonts w:ascii="Arial" w:cs="Arial" w:eastAsia="Arial" w:hAnsi="Arial"/>
          <w:sz w:val="18"/>
          <w:szCs w:val="18"/>
          <w:b w:val="1"/>
          <w:bCs w:val="1"/>
          <w:color w:val="auto"/>
        </w:rPr>
      </w:pPr>
    </w:p>
    <w:p>
      <w:pPr>
        <w:ind w:right="140" w:firstLine="921"/>
        <w:spacing w:after="0" w:line="264" w:lineRule="auto"/>
        <w:tabs>
          <w:tab w:leader="none" w:pos="1228" w:val="left"/>
        </w:tabs>
        <w:numPr>
          <w:ilvl w:val="2"/>
          <w:numId w:val="344"/>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73" w:lineRule="exact"/>
        <w:rPr>
          <w:rFonts w:ascii="Arial" w:cs="Arial" w:eastAsia="Arial" w:hAnsi="Arial"/>
          <w:sz w:val="18"/>
          <w:szCs w:val="18"/>
          <w:b w:val="1"/>
          <w:bCs w:val="1"/>
          <w:color w:val="auto"/>
        </w:rPr>
      </w:pPr>
    </w:p>
    <w:p>
      <w:pPr>
        <w:ind w:left="1220" w:hanging="299"/>
        <w:spacing w:after="0"/>
        <w:tabs>
          <w:tab w:leader="none" w:pos="1220" w:val="left"/>
        </w:tabs>
        <w:numPr>
          <w:ilvl w:val="2"/>
          <w:numId w:val="344"/>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Purchase Rights granted under the Plan.</w:t>
      </w:r>
    </w:p>
    <w:p>
      <w:pPr>
        <w:spacing w:after="0" w:line="117" w:lineRule="exact"/>
        <w:rPr>
          <w:rFonts w:ascii="Arial" w:cs="Arial" w:eastAsia="Arial" w:hAnsi="Arial"/>
          <w:sz w:val="18"/>
          <w:szCs w:val="18"/>
          <w:b w:val="1"/>
          <w:bCs w:val="1"/>
          <w:color w:val="auto"/>
        </w:rPr>
      </w:pPr>
    </w:p>
    <w:p>
      <w:pPr>
        <w:ind w:left="1180" w:hanging="259"/>
        <w:spacing w:after="0"/>
        <w:tabs>
          <w:tab w:leader="none" w:pos="1180" w:val="left"/>
        </w:tabs>
        <w:numPr>
          <w:ilvl w:val="2"/>
          <w:numId w:val="344"/>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ectPr>
          <w:pgSz w:w="11900" w:h="16838" w:orient="portrait"/>
          <w:cols w:equalWidth="0" w:num="1">
            <w:col w:w="11420"/>
          </w:cols>
          <w:pgMar w:left="240" w:top="121" w:right="239" w:bottom="1440" w:gutter="0" w:footer="0" w:header="0"/>
        </w:sectPr>
      </w:pPr>
    </w:p>
    <w:bookmarkStart w:id="350" w:name="page351"/>
    <w:bookmarkEnd w:id="350"/>
    <w:p>
      <w:pPr>
        <w:ind w:left="1212" w:hanging="299"/>
        <w:spacing w:after="0"/>
        <w:tabs>
          <w:tab w:leader="none" w:pos="1212" w:val="left"/>
        </w:tabs>
        <w:numPr>
          <w:ilvl w:val="2"/>
          <w:numId w:val="34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amend the Plan at any time as provided in Section 12.</w:t>
      </w:r>
    </w:p>
    <w:p>
      <w:pPr>
        <w:spacing w:after="0" w:line="117" w:lineRule="exact"/>
        <w:rPr>
          <w:rFonts w:ascii="Arial" w:cs="Arial" w:eastAsia="Arial" w:hAnsi="Arial"/>
          <w:sz w:val="18"/>
          <w:szCs w:val="18"/>
          <w:b w:val="1"/>
          <w:bCs w:val="1"/>
          <w:color w:val="auto"/>
        </w:rPr>
      </w:pPr>
    </w:p>
    <w:p>
      <w:pPr>
        <w:ind w:left="-8" w:firstLine="921"/>
        <w:spacing w:after="0" w:line="277" w:lineRule="auto"/>
        <w:tabs>
          <w:tab w:leader="none" w:pos="1260" w:val="left"/>
        </w:tabs>
        <w:numPr>
          <w:ilvl w:val="2"/>
          <w:numId w:val="345"/>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62" w:lineRule="exact"/>
        <w:rPr>
          <w:rFonts w:ascii="Arial" w:cs="Arial" w:eastAsia="Arial" w:hAnsi="Arial"/>
          <w:sz w:val="18"/>
          <w:szCs w:val="18"/>
          <w:b w:val="1"/>
          <w:bCs w:val="1"/>
          <w:color w:val="auto"/>
        </w:rPr>
      </w:pPr>
    </w:p>
    <w:p>
      <w:pPr>
        <w:ind w:left="-8" w:right="60" w:firstLine="921"/>
        <w:spacing w:after="0" w:line="264" w:lineRule="auto"/>
        <w:tabs>
          <w:tab w:leader="none" w:pos="1310" w:val="left"/>
        </w:tabs>
        <w:numPr>
          <w:ilvl w:val="2"/>
          <w:numId w:val="345"/>
        </w:numPr>
        <w:rPr>
          <w:rFonts w:ascii="Arial" w:cs="Arial" w:eastAsia="Arial" w:hAnsi="Arial"/>
          <w:sz w:val="18"/>
          <w:szCs w:val="18"/>
          <w:b w:val="1"/>
          <w:bCs w:val="1"/>
          <w:color w:val="auto"/>
        </w:rPr>
      </w:pPr>
      <w:r>
        <w:rPr>
          <w:rFonts w:ascii="Arial" w:cs="Arial" w:eastAsia="Arial" w:hAnsi="Arial"/>
          <w:sz w:val="18"/>
          <w:szCs w:val="18"/>
          <w:color w:val="auto"/>
        </w:rPr>
        <w:t>To adopt such rules, procedures and sub-plans relating to the operation and administration of the Plan as are necessary or appropriate under applicable local laws, regulations and procedures to permit or facilitate participation in the Plan by Employees who are foreign nationals or employed or located outside the United States.</w:t>
      </w:r>
    </w:p>
    <w:p>
      <w:pPr>
        <w:spacing w:after="0" w:line="73" w:lineRule="exact"/>
        <w:rPr>
          <w:rFonts w:ascii="Arial" w:cs="Arial" w:eastAsia="Arial" w:hAnsi="Arial"/>
          <w:sz w:val="18"/>
          <w:szCs w:val="18"/>
          <w:b w:val="1"/>
          <w:bCs w:val="1"/>
          <w:color w:val="auto"/>
        </w:rPr>
      </w:pPr>
    </w:p>
    <w:p>
      <w:pPr>
        <w:ind w:left="-8" w:firstLine="464"/>
        <w:spacing w:after="0" w:line="291" w:lineRule="auto"/>
        <w:tabs>
          <w:tab w:leader="none" w:pos="693" w:val="left"/>
        </w:tabs>
        <w:numPr>
          <w:ilvl w:val="1"/>
          <w:numId w:val="346"/>
        </w:numPr>
        <w:rPr>
          <w:rFonts w:ascii="Arial" w:cs="Arial" w:eastAsia="Arial" w:hAnsi="Arial"/>
          <w:sz w:val="16"/>
          <w:szCs w:val="16"/>
          <w:b w:val="1"/>
          <w:bCs w:val="1"/>
          <w:color w:val="auto"/>
        </w:rPr>
      </w:pPr>
      <w:r>
        <w:rPr>
          <w:rFonts w:ascii="Arial" w:cs="Arial" w:eastAsia="Arial" w:hAnsi="Arial"/>
          <w:sz w:val="16"/>
          <w:szCs w:val="16"/>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59" w:lineRule="exact"/>
        <w:rPr>
          <w:rFonts w:ascii="Arial" w:cs="Arial" w:eastAsia="Arial" w:hAnsi="Arial"/>
          <w:sz w:val="16"/>
          <w:szCs w:val="16"/>
          <w:b w:val="1"/>
          <w:bCs w:val="1"/>
          <w:color w:val="auto"/>
        </w:rPr>
      </w:pPr>
    </w:p>
    <w:p>
      <w:pPr>
        <w:ind w:left="-8" w:right="100" w:firstLine="464"/>
        <w:spacing w:after="0" w:line="277" w:lineRule="auto"/>
        <w:tabs>
          <w:tab w:leader="none" w:pos="713" w:val="left"/>
        </w:tabs>
        <w:numPr>
          <w:ilvl w:val="1"/>
          <w:numId w:val="346"/>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 w:right="20" w:firstLine="464"/>
        <w:spacing w:after="0" w:line="291" w:lineRule="auto"/>
        <w:tabs>
          <w:tab w:leader="none" w:pos="703" w:val="left"/>
        </w:tabs>
        <w:numPr>
          <w:ilvl w:val="1"/>
          <w:numId w:val="347"/>
        </w:numPr>
        <w:rPr>
          <w:rFonts w:ascii="Arial" w:cs="Arial" w:eastAsia="Arial" w:hAnsi="Arial"/>
          <w:sz w:val="16"/>
          <w:szCs w:val="16"/>
          <w:b w:val="1"/>
          <w:bCs w:val="1"/>
          <w:color w:val="auto"/>
        </w:rPr>
      </w:pPr>
      <w:r>
        <w:rPr>
          <w:rFonts w:ascii="Arial" w:cs="Arial" w:eastAsia="Arial" w:hAnsi="Arial"/>
          <w:sz w:val="16"/>
          <w:szCs w:val="16"/>
          <w:color w:val="auto"/>
        </w:rPr>
        <w:t>Subject to the provisions of Section 11(a) relating to Capitalization Adjustments, the maximum number of shares of Common Stock that may be issued under the Plan will not exceed 450,000 shares of Common Stock, plus the number of shares of Common Stock that are automatically added on January 1</w:t>
      </w:r>
      <w:r>
        <w:rPr>
          <w:rFonts w:ascii="Arial" w:cs="Arial" w:eastAsia="Arial" w:hAnsi="Arial"/>
          <w:sz w:val="13"/>
          <w:szCs w:val="13"/>
          <w:color w:val="auto"/>
        </w:rPr>
        <w:t>st</w:t>
      </w:r>
      <w:r>
        <w:rPr>
          <w:rFonts w:ascii="Arial" w:cs="Arial" w:eastAsia="Arial" w:hAnsi="Arial"/>
          <w:sz w:val="16"/>
          <w:szCs w:val="16"/>
          <w:color w:val="auto"/>
        </w:rPr>
        <w:t xml:space="preserve"> of each year for a period of up to ten years, commencing on the first January 1 following the year in which the IPO Date occurs and ending on (and including) January 1, 2028, in an amount equal to the lesser of (i) 1% of the total number of shares of Capital Stock outstanding on December 31</w:t>
      </w:r>
      <w:r>
        <w:rPr>
          <w:rFonts w:ascii="Arial" w:cs="Arial" w:eastAsia="Arial" w:hAnsi="Arial"/>
          <w:sz w:val="13"/>
          <w:szCs w:val="13"/>
          <w:color w:val="auto"/>
        </w:rPr>
        <w:t>st</w:t>
      </w:r>
      <w:r>
        <w:rPr>
          <w:rFonts w:ascii="Arial" w:cs="Arial" w:eastAsia="Arial" w:hAnsi="Arial"/>
          <w:sz w:val="16"/>
          <w:szCs w:val="16"/>
          <w:color w:val="auto"/>
        </w:rPr>
        <w:t xml:space="preserve"> of the preceding calendar year, and (ii) 450,000 shares of Common Stock. Notwithstanding the foregoing, the Board may act prior to the first day of any calendar year to provide that there will be no January 1</w:t>
      </w:r>
      <w:r>
        <w:rPr>
          <w:rFonts w:ascii="Arial" w:cs="Arial" w:eastAsia="Arial" w:hAnsi="Arial"/>
          <w:sz w:val="13"/>
          <w:szCs w:val="13"/>
          <w:color w:val="auto"/>
        </w:rPr>
        <w:t>st</w:t>
      </w:r>
      <w:r>
        <w:rPr>
          <w:rFonts w:ascii="Arial" w:cs="Arial" w:eastAsia="Arial" w:hAnsi="Arial"/>
          <w:sz w:val="16"/>
          <w:szCs w:val="16"/>
          <w:color w:val="auto"/>
        </w:rPr>
        <w:t xml:space="preserve"> increase in the share reserve for such calendar year or that the increase in the share reserve for such calendar year will be a lesser number of shares of Common Stock than would otherwise occur pursuant to the preceding sentence.</w:t>
      </w:r>
    </w:p>
    <w:p>
      <w:pPr>
        <w:spacing w:after="0" w:line="59" w:lineRule="exact"/>
        <w:rPr>
          <w:rFonts w:ascii="Arial" w:cs="Arial" w:eastAsia="Arial" w:hAnsi="Arial"/>
          <w:sz w:val="16"/>
          <w:szCs w:val="16"/>
          <w:b w:val="1"/>
          <w:bCs w:val="1"/>
          <w:color w:val="auto"/>
        </w:rPr>
      </w:pPr>
    </w:p>
    <w:p>
      <w:pPr>
        <w:ind w:left="-8" w:right="240" w:firstLine="464"/>
        <w:spacing w:after="0" w:line="277" w:lineRule="auto"/>
        <w:tabs>
          <w:tab w:leader="none" w:pos="713" w:val="left"/>
        </w:tabs>
        <w:numPr>
          <w:ilvl w:val="1"/>
          <w:numId w:val="347"/>
        </w:numPr>
        <w:rPr>
          <w:rFonts w:ascii="Arial" w:cs="Arial" w:eastAsia="Arial" w:hAnsi="Arial"/>
          <w:sz w:val="18"/>
          <w:szCs w:val="18"/>
          <w:b w:val="1"/>
          <w:bCs w:val="1"/>
          <w:color w:val="auto"/>
        </w:rPr>
      </w:pPr>
      <w:r>
        <w:rPr>
          <w:rFonts w:ascii="Arial" w:cs="Arial" w:eastAsia="Arial" w:hAnsi="Arial"/>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351" w:name="page352"/>
    <w:bookmarkEnd w:id="351"/>
    <w:p>
      <w:pPr>
        <w:ind w:left="-8" w:right="180" w:firstLine="464"/>
        <w:spacing w:after="0" w:line="277" w:lineRule="auto"/>
        <w:tabs>
          <w:tab w:leader="none" w:pos="693" w:val="left"/>
        </w:tabs>
        <w:numPr>
          <w:ilvl w:val="1"/>
          <w:numId w:val="34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stock purchasable under the Plan will be shares of authorized but unissued or reacquired Common Stock, including shares repurchased by the Company on the open market.</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O</w:t>
      </w:r>
      <w:r>
        <w:rPr>
          <w:rFonts w:ascii="Arial" w:cs="Arial" w:eastAsia="Arial" w:hAnsi="Arial"/>
          <w:sz w:val="15"/>
          <w:szCs w:val="15"/>
          <w:b w:val="1"/>
          <w:bCs w:val="1"/>
          <w:color w:val="auto"/>
        </w:rPr>
        <w:t>FFERING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 w:right="20" w:firstLine="464"/>
        <w:spacing w:after="0" w:line="272" w:lineRule="auto"/>
        <w:tabs>
          <w:tab w:leader="none" w:pos="703" w:val="left"/>
        </w:tabs>
        <w:numPr>
          <w:ilvl w:val="1"/>
          <w:numId w:val="349"/>
        </w:numPr>
        <w:rPr>
          <w:rFonts w:ascii="Arial" w:cs="Arial" w:eastAsia="Arial" w:hAnsi="Arial"/>
          <w:sz w:val="17"/>
          <w:szCs w:val="17"/>
          <w:b w:val="1"/>
          <w:bCs w:val="1"/>
          <w:color w:val="auto"/>
        </w:rPr>
      </w:pPr>
      <w:r>
        <w:rPr>
          <w:rFonts w:ascii="Arial" w:cs="Arial" w:eastAsia="Arial" w:hAnsi="Arial"/>
          <w:sz w:val="17"/>
          <w:szCs w:val="17"/>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69" w:lineRule="exact"/>
        <w:rPr>
          <w:rFonts w:ascii="Arial" w:cs="Arial" w:eastAsia="Arial" w:hAnsi="Arial"/>
          <w:sz w:val="17"/>
          <w:szCs w:val="17"/>
          <w:b w:val="1"/>
          <w:bCs w:val="1"/>
          <w:color w:val="auto"/>
        </w:rPr>
      </w:pPr>
    </w:p>
    <w:p>
      <w:pPr>
        <w:ind w:left="-8" w:right="320" w:firstLine="464"/>
        <w:spacing w:after="0" w:line="302" w:lineRule="auto"/>
        <w:tabs>
          <w:tab w:leader="none" w:pos="713" w:val="left"/>
        </w:tabs>
        <w:numPr>
          <w:ilvl w:val="1"/>
          <w:numId w:val="349"/>
        </w:numPr>
        <w:rPr>
          <w:rFonts w:ascii="Arial" w:cs="Arial" w:eastAsia="Arial" w:hAnsi="Arial"/>
          <w:sz w:val="16"/>
          <w:szCs w:val="16"/>
          <w:b w:val="1"/>
          <w:bCs w:val="1"/>
          <w:color w:val="auto"/>
        </w:rPr>
      </w:pPr>
      <w:r>
        <w:rPr>
          <w:rFonts w:ascii="Arial" w:cs="Arial" w:eastAsia="Arial" w:hAnsi="Arial"/>
          <w:sz w:val="16"/>
          <w:szCs w:val="16"/>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46" w:lineRule="exact"/>
        <w:rPr>
          <w:rFonts w:ascii="Arial" w:cs="Arial" w:eastAsia="Arial" w:hAnsi="Arial"/>
          <w:sz w:val="16"/>
          <w:szCs w:val="16"/>
          <w:b w:val="1"/>
          <w:bCs w:val="1"/>
          <w:color w:val="auto"/>
        </w:rPr>
      </w:pPr>
    </w:p>
    <w:p>
      <w:pPr>
        <w:jc w:val="both"/>
        <w:ind w:left="-8" w:right="80" w:firstLine="464"/>
        <w:spacing w:after="0" w:line="259" w:lineRule="auto"/>
        <w:tabs>
          <w:tab w:leader="none" w:pos="693" w:val="left"/>
        </w:tabs>
        <w:numPr>
          <w:ilvl w:val="1"/>
          <w:numId w:val="349"/>
        </w:numPr>
        <w:rPr>
          <w:rFonts w:ascii="Arial" w:cs="Arial" w:eastAsia="Arial" w:hAnsi="Arial"/>
          <w:sz w:val="18"/>
          <w:szCs w:val="18"/>
          <w:b w:val="1"/>
          <w:bCs w:val="1"/>
          <w:color w:val="auto"/>
        </w:rPr>
      </w:pPr>
      <w:r>
        <w:rPr>
          <w:rFonts w:ascii="Arial" w:cs="Arial" w:eastAsia="Arial" w:hAnsi="Arial"/>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09" w:lineRule="exact"/>
        <w:rPr>
          <w:rFonts w:ascii="Arial" w:cs="Arial" w:eastAsia="Arial" w:hAnsi="Arial"/>
          <w:sz w:val="18"/>
          <w:szCs w:val="18"/>
          <w:b w:val="1"/>
          <w:bCs w:val="1"/>
          <w:color w:val="auto"/>
        </w:rPr>
      </w:pPr>
    </w:p>
    <w:p>
      <w:pPr>
        <w:ind w:left="452" w:hanging="452"/>
        <w:spacing w:after="0"/>
        <w:tabs>
          <w:tab w:leader="none" w:pos="452"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LIGIBILITY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 w:firstLine="464"/>
        <w:spacing w:after="0" w:line="271" w:lineRule="auto"/>
        <w:tabs>
          <w:tab w:leader="none" w:pos="703" w:val="left"/>
        </w:tabs>
        <w:numPr>
          <w:ilvl w:val="1"/>
          <w:numId w:val="349"/>
        </w:numPr>
        <w:rPr>
          <w:rFonts w:ascii="Arial" w:cs="Arial" w:eastAsia="Arial" w:hAnsi="Arial"/>
          <w:sz w:val="17"/>
          <w:szCs w:val="17"/>
          <w:b w:val="1"/>
          <w:bCs w:val="1"/>
          <w:color w:val="auto"/>
        </w:rPr>
      </w:pPr>
      <w:r>
        <w:rPr>
          <w:rFonts w:ascii="Arial" w:cs="Arial" w:eastAsia="Arial" w:hAnsi="Arial"/>
          <w:sz w:val="17"/>
          <w:szCs w:val="17"/>
          <w:color w:val="auto"/>
        </w:rPr>
        <w:t>Purchase Rights may be granted only to Employees of the Company or, as the Board may designate in accordance with Section 2(b), to Employees of a Related Corporation. Except as provided in Section 5(b),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(unless prohibited by law)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 The Board may also exclude from participation in the Plan or any Offering Employees who are</w:t>
      </w:r>
    </w:p>
    <w:p>
      <w:pPr>
        <w:spacing w:after="0" w:line="1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352" w:name="page353"/>
    <w:bookmarkEnd w:id="35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“highly compensated employees” (within the meaning of Section 414(q) of the Code) of the Company or a Related Corporation or a subset of such highly compensated employees.</w:t>
      </w:r>
    </w:p>
    <w:p>
      <w:pPr>
        <w:spacing w:after="0" w:line="62" w:lineRule="exact"/>
        <w:rPr>
          <w:sz w:val="20"/>
          <w:szCs w:val="20"/>
          <w:color w:val="auto"/>
        </w:rPr>
      </w:pPr>
    </w:p>
    <w:p>
      <w:pPr>
        <w:ind w:right="220" w:firstLine="464"/>
        <w:spacing w:after="0" w:line="279" w:lineRule="auto"/>
        <w:tabs>
          <w:tab w:leader="none" w:pos="721" w:val="left"/>
        </w:tabs>
        <w:numPr>
          <w:ilvl w:val="1"/>
          <w:numId w:val="350"/>
        </w:numPr>
        <w:rPr>
          <w:rFonts w:ascii="Arial" w:cs="Arial" w:eastAsia="Arial" w:hAnsi="Arial"/>
          <w:sz w:val="17"/>
          <w:szCs w:val="17"/>
          <w:b w:val="1"/>
          <w:bCs w:val="1"/>
          <w:color w:val="auto"/>
        </w:rPr>
      </w:pPr>
      <w:r>
        <w:rPr>
          <w:rFonts w:ascii="Arial" w:cs="Arial" w:eastAsia="Arial" w:hAnsi="Arial"/>
          <w:sz w:val="17"/>
          <w:szCs w:val="17"/>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63" w:lineRule="exact"/>
        <w:rPr>
          <w:rFonts w:ascii="Arial" w:cs="Arial" w:eastAsia="Arial" w:hAnsi="Arial"/>
          <w:sz w:val="17"/>
          <w:szCs w:val="17"/>
          <w:b w:val="1"/>
          <w:bCs w:val="1"/>
          <w:color w:val="auto"/>
        </w:rPr>
      </w:pPr>
    </w:p>
    <w:p>
      <w:pPr>
        <w:ind w:firstLine="921"/>
        <w:spacing w:after="0" w:line="277" w:lineRule="auto"/>
        <w:tabs>
          <w:tab w:leader="none" w:pos="1128" w:val="left"/>
        </w:tabs>
        <w:numPr>
          <w:ilvl w:val="2"/>
          <w:numId w:val="350"/>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2"/>
          <w:numId w:val="350"/>
        </w:numPr>
        <w:rPr>
          <w:rFonts w:ascii="Arial" w:cs="Arial" w:eastAsia="Arial" w:hAnsi="Arial"/>
          <w:sz w:val="17"/>
          <w:szCs w:val="17"/>
          <w:b w:val="1"/>
          <w:bCs w:val="1"/>
          <w:color w:val="auto"/>
        </w:rPr>
      </w:pPr>
      <w:r>
        <w:rPr>
          <w:rFonts w:ascii="Arial" w:cs="Arial" w:eastAsia="Arial" w:hAnsi="Arial"/>
          <w:sz w:val="17"/>
          <w:szCs w:val="17"/>
          <w:color w:val="auto"/>
        </w:rPr>
        <w:t>the period of the Offering with respect to such Purchase Right will begin on its Offering Date and end coincident with the end of such</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Offering; and</w:t>
      </w:r>
    </w:p>
    <w:p>
      <w:pPr>
        <w:spacing w:after="0" w:line="102" w:lineRule="exact"/>
        <w:rPr>
          <w:rFonts w:ascii="Arial" w:cs="Arial" w:eastAsia="Arial" w:hAnsi="Arial"/>
          <w:sz w:val="17"/>
          <w:szCs w:val="17"/>
          <w:b w:val="1"/>
          <w:bCs w:val="1"/>
          <w:color w:val="auto"/>
        </w:rPr>
      </w:pPr>
    </w:p>
    <w:p>
      <w:pPr>
        <w:ind w:right="580" w:firstLine="921"/>
        <w:spacing w:after="0" w:line="277" w:lineRule="auto"/>
        <w:tabs>
          <w:tab w:leader="none" w:pos="1228" w:val="left"/>
        </w:tabs>
        <w:numPr>
          <w:ilvl w:val="2"/>
          <w:numId w:val="350"/>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62" w:lineRule="exact"/>
        <w:rPr>
          <w:rFonts w:ascii="Arial" w:cs="Arial" w:eastAsia="Arial" w:hAnsi="Arial"/>
          <w:sz w:val="18"/>
          <w:szCs w:val="18"/>
          <w:b w:val="1"/>
          <w:bCs w:val="1"/>
          <w:color w:val="auto"/>
        </w:rPr>
      </w:pPr>
    </w:p>
    <w:p>
      <w:pPr>
        <w:ind w:right="20" w:firstLine="464"/>
        <w:spacing w:after="0" w:line="279" w:lineRule="auto"/>
        <w:tabs>
          <w:tab w:leader="none" w:pos="701" w:val="left"/>
        </w:tabs>
        <w:numPr>
          <w:ilvl w:val="1"/>
          <w:numId w:val="350"/>
        </w:numPr>
        <w:rPr>
          <w:rFonts w:ascii="Arial" w:cs="Arial" w:eastAsia="Arial" w:hAnsi="Arial"/>
          <w:sz w:val="17"/>
          <w:szCs w:val="17"/>
          <w:b w:val="1"/>
          <w:bCs w:val="1"/>
          <w:color w:val="auto"/>
        </w:rPr>
      </w:pPr>
      <w:r>
        <w:rPr>
          <w:rFonts w:ascii="Arial" w:cs="Arial" w:eastAsia="Arial" w:hAnsi="Arial"/>
          <w:sz w:val="17"/>
          <w:szCs w:val="17"/>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63" w:lineRule="exact"/>
        <w:rPr>
          <w:rFonts w:ascii="Arial" w:cs="Arial" w:eastAsia="Arial" w:hAnsi="Arial"/>
          <w:sz w:val="17"/>
          <w:szCs w:val="17"/>
          <w:b w:val="1"/>
          <w:bCs w:val="1"/>
          <w:color w:val="auto"/>
        </w:rPr>
      </w:pPr>
    </w:p>
    <w:p>
      <w:pPr>
        <w:ind w:right="40" w:firstLine="464"/>
        <w:spacing w:after="0" w:line="257" w:lineRule="auto"/>
        <w:tabs>
          <w:tab w:leader="none" w:pos="721" w:val="left"/>
        </w:tabs>
        <w:numPr>
          <w:ilvl w:val="1"/>
          <w:numId w:val="350"/>
        </w:numPr>
        <w:rPr>
          <w:rFonts w:ascii="Arial" w:cs="Arial" w:eastAsia="Arial" w:hAnsi="Arial"/>
          <w:sz w:val="18"/>
          <w:szCs w:val="18"/>
          <w:b w:val="1"/>
          <w:bCs w:val="1"/>
          <w:color w:val="auto"/>
        </w:rPr>
      </w:pPr>
      <w:r>
        <w:rPr>
          <w:rFonts w:ascii="Arial" w:cs="Arial" w:eastAsia="Arial" w:hAnsi="Arial"/>
          <w:sz w:val="18"/>
          <w:szCs w:val="18"/>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80" w:lineRule="exact"/>
        <w:rPr>
          <w:rFonts w:ascii="Arial" w:cs="Arial" w:eastAsia="Arial" w:hAnsi="Arial"/>
          <w:sz w:val="18"/>
          <w:szCs w:val="18"/>
          <w:b w:val="1"/>
          <w:bCs w:val="1"/>
          <w:color w:val="auto"/>
        </w:rPr>
      </w:pPr>
    </w:p>
    <w:p>
      <w:pPr>
        <w:ind w:right="280" w:firstLine="464"/>
        <w:spacing w:after="0" w:line="286" w:lineRule="auto"/>
        <w:tabs>
          <w:tab w:leader="none" w:pos="701" w:val="left"/>
        </w:tabs>
        <w:numPr>
          <w:ilvl w:val="1"/>
          <w:numId w:val="350"/>
        </w:numPr>
        <w:rPr>
          <w:rFonts w:ascii="Arial" w:cs="Arial" w:eastAsia="Arial" w:hAnsi="Arial"/>
          <w:sz w:val="17"/>
          <w:szCs w:val="17"/>
          <w:b w:val="1"/>
          <w:bCs w:val="1"/>
          <w:color w:val="auto"/>
        </w:rPr>
      </w:pPr>
      <w:r>
        <w:rPr>
          <w:rFonts w:ascii="Arial" w:cs="Arial" w:eastAsia="Arial" w:hAnsi="Arial"/>
          <w:sz w:val="17"/>
          <w:szCs w:val="17"/>
          <w:color w:val="auto"/>
        </w:rPr>
        <w:t>Officers of the Company and any designated Related Corporation, if they are otherwise Eligible Employees, will be eligible to participate in Offerings under the Plan. Notwithstanding the foregoing, the Board may (unless prohibited by law) provide in an Offering that Employees who are highly compensated Employees within the meaning of Section 423(b)(4)(D) of the Code will not be eligible to participate.</w:t>
      </w:r>
    </w:p>
    <w:p>
      <w:pPr>
        <w:spacing w:after="0" w:line="188" w:lineRule="exact"/>
        <w:rPr>
          <w:rFonts w:ascii="Arial" w:cs="Arial" w:eastAsia="Arial" w:hAnsi="Arial"/>
          <w:sz w:val="17"/>
          <w:szCs w:val="17"/>
          <w:b w:val="1"/>
          <w:bCs w:val="1"/>
          <w:color w:val="auto"/>
        </w:rPr>
      </w:pPr>
    </w:p>
    <w:p>
      <w:pPr>
        <w:ind w:left="460" w:hanging="452"/>
        <w:spacing w:after="0"/>
        <w:tabs>
          <w:tab w:leader="none" w:pos="46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200" w:firstLine="464"/>
        <w:spacing w:after="0" w:line="277" w:lineRule="auto"/>
        <w:tabs>
          <w:tab w:leader="none" w:pos="711" w:val="left"/>
        </w:tabs>
        <w:numPr>
          <w:ilvl w:val="1"/>
          <w:numId w:val="351"/>
        </w:numPr>
        <w:rPr>
          <w:rFonts w:ascii="Arial" w:cs="Arial" w:eastAsia="Arial" w:hAnsi="Arial"/>
          <w:sz w:val="18"/>
          <w:szCs w:val="18"/>
          <w:b w:val="1"/>
          <w:bCs w:val="1"/>
          <w:color w:val="auto"/>
        </w:rPr>
      </w:pPr>
      <w:r>
        <w:rPr>
          <w:rFonts w:ascii="Arial" w:cs="Arial" w:eastAsia="Arial" w:hAnsi="Arial"/>
          <w:sz w:val="18"/>
          <w:szCs w:val="18"/>
          <w:color w:val="auto"/>
        </w:rPr>
        <w:t>On each Offering Date, each Eligible Employee, pursuant to an Offering made under the Plan, will be granted a Purchase Right to purchase up to that number of shares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3" w:right="279" w:bottom="1440" w:gutter="0" w:footer="0" w:header="0"/>
        </w:sectPr>
      </w:pPr>
    </w:p>
    <w:bookmarkStart w:id="353" w:name="page354"/>
    <w:bookmarkEnd w:id="353"/>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57" w:lineRule="exact"/>
        <w:rPr>
          <w:sz w:val="20"/>
          <w:szCs w:val="20"/>
          <w:color w:val="auto"/>
        </w:rPr>
      </w:pPr>
    </w:p>
    <w:p>
      <w:pPr>
        <w:ind w:right="140" w:firstLine="464"/>
        <w:spacing w:after="0" w:line="277" w:lineRule="auto"/>
        <w:tabs>
          <w:tab w:leader="none" w:pos="721" w:val="left"/>
        </w:tabs>
        <w:numPr>
          <w:ilvl w:val="1"/>
          <w:numId w:val="352"/>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62" w:lineRule="exact"/>
        <w:rPr>
          <w:rFonts w:ascii="Arial" w:cs="Arial" w:eastAsia="Arial" w:hAnsi="Arial"/>
          <w:sz w:val="18"/>
          <w:szCs w:val="18"/>
          <w:b w:val="1"/>
          <w:bCs w:val="1"/>
          <w:color w:val="auto"/>
        </w:rPr>
      </w:pPr>
    </w:p>
    <w:p>
      <w:pPr>
        <w:ind w:right="40" w:firstLine="464"/>
        <w:spacing w:after="0" w:line="272" w:lineRule="auto"/>
        <w:tabs>
          <w:tab w:leader="none" w:pos="701" w:val="left"/>
        </w:tabs>
        <w:numPr>
          <w:ilvl w:val="1"/>
          <w:numId w:val="352"/>
        </w:numPr>
        <w:rPr>
          <w:rFonts w:ascii="Arial" w:cs="Arial" w:eastAsia="Arial" w:hAnsi="Arial"/>
          <w:sz w:val="17"/>
          <w:szCs w:val="17"/>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69" w:lineRule="exact"/>
        <w:rPr>
          <w:rFonts w:ascii="Arial" w:cs="Arial" w:eastAsia="Arial" w:hAnsi="Arial"/>
          <w:sz w:val="17"/>
          <w:szCs w:val="17"/>
          <w:b w:val="1"/>
          <w:bCs w:val="1"/>
          <w:color w:val="auto"/>
        </w:rPr>
      </w:pPr>
    </w:p>
    <w:p>
      <w:pPr>
        <w:ind w:left="720" w:hanging="256"/>
        <w:spacing w:after="0"/>
        <w:tabs>
          <w:tab w:leader="none" w:pos="720" w:val="left"/>
        </w:tabs>
        <w:numPr>
          <w:ilvl w:val="1"/>
          <w:numId w:val="352"/>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not less than the lesser of:</w:t>
      </w:r>
    </w:p>
    <w:p>
      <w:pPr>
        <w:spacing w:after="0" w:line="117" w:lineRule="exact"/>
        <w:rPr>
          <w:rFonts w:ascii="Arial" w:cs="Arial" w:eastAsia="Arial" w:hAnsi="Arial"/>
          <w:sz w:val="18"/>
          <w:szCs w:val="18"/>
          <w:b w:val="1"/>
          <w:bCs w:val="1"/>
          <w:color w:val="auto"/>
        </w:rPr>
      </w:pPr>
    </w:p>
    <w:p>
      <w:pPr>
        <w:ind w:left="1140" w:hanging="219"/>
        <w:spacing w:after="0"/>
        <w:tabs>
          <w:tab w:leader="none" w:pos="1140" w:val="left"/>
        </w:tabs>
        <w:numPr>
          <w:ilvl w:val="2"/>
          <w:numId w:val="352"/>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Offering Date; or</w:t>
      </w:r>
    </w:p>
    <w:p>
      <w:pPr>
        <w:spacing w:after="0" w:line="117" w:lineRule="exact"/>
        <w:rPr>
          <w:rFonts w:ascii="Arial" w:cs="Arial" w:eastAsia="Arial" w:hAnsi="Arial"/>
          <w:sz w:val="18"/>
          <w:szCs w:val="18"/>
          <w:b w:val="1"/>
          <w:bCs w:val="1"/>
          <w:color w:val="auto"/>
        </w:rPr>
      </w:pPr>
    </w:p>
    <w:p>
      <w:pPr>
        <w:ind w:left="1180" w:hanging="259"/>
        <w:spacing w:after="0"/>
        <w:tabs>
          <w:tab w:leader="none" w:pos="1180" w:val="left"/>
        </w:tabs>
        <w:numPr>
          <w:ilvl w:val="2"/>
          <w:numId w:val="352"/>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248" w:lineRule="exact"/>
        <w:rPr>
          <w:rFonts w:ascii="Arial" w:cs="Arial" w:eastAsia="Arial" w:hAnsi="Arial"/>
          <w:sz w:val="18"/>
          <w:szCs w:val="18"/>
          <w:b w:val="1"/>
          <w:bCs w:val="1"/>
          <w:color w:val="auto"/>
        </w:rPr>
      </w:pPr>
    </w:p>
    <w:p>
      <w:pPr>
        <w:ind w:left="460" w:hanging="452"/>
        <w:spacing w:after="0"/>
        <w:tabs>
          <w:tab w:leader="none" w:pos="4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ARTICIPATION</w:t>
      </w:r>
      <w:r>
        <w:rPr>
          <w:rFonts w:ascii="Arial" w:cs="Arial" w:eastAsia="Arial" w:hAnsi="Arial"/>
          <w:sz w:val="18"/>
          <w:szCs w:val="18"/>
          <w:b w:val="1"/>
          <w:bCs w:val="1"/>
          <w:color w:val="auto"/>
        </w:rPr>
        <w:t>; W</w:t>
      </w:r>
      <w:r>
        <w:rPr>
          <w:rFonts w:ascii="Arial" w:cs="Arial" w:eastAsia="Arial" w:hAnsi="Arial"/>
          <w:sz w:val="15"/>
          <w:szCs w:val="15"/>
          <w:b w:val="1"/>
          <w:bCs w:val="1"/>
          <w:color w:val="auto"/>
        </w:rPr>
        <w:t>ITHDRAWAL</w:t>
      </w:r>
      <w:r>
        <w:rPr>
          <w:rFonts w:ascii="Arial" w:cs="Arial" w:eastAsia="Arial" w:hAnsi="Arial"/>
          <w:sz w:val="18"/>
          <w:szCs w:val="18"/>
          <w:b w:val="1"/>
          <w:bCs w:val="1"/>
          <w:color w:val="auto"/>
        </w:rPr>
        <w:t>; T</w:t>
      </w:r>
      <w:r>
        <w:rPr>
          <w:rFonts w:ascii="Arial" w:cs="Arial" w:eastAsia="Arial" w:hAnsi="Arial"/>
          <w:sz w:val="15"/>
          <w:szCs w:val="15"/>
          <w:b w:val="1"/>
          <w:bCs w:val="1"/>
          <w:color w:val="auto"/>
        </w:rPr>
        <w: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firstLine="464"/>
        <w:spacing w:after="0" w:line="289" w:lineRule="auto"/>
        <w:tabs>
          <w:tab w:leader="none" w:pos="711" w:val="left"/>
        </w:tabs>
        <w:numPr>
          <w:ilvl w:val="1"/>
          <w:numId w:val="353"/>
        </w:numPr>
        <w:rPr>
          <w:rFonts w:ascii="Arial" w:cs="Arial" w:eastAsia="Arial" w:hAnsi="Arial"/>
          <w:sz w:val="16"/>
          <w:szCs w:val="16"/>
          <w:b w:val="1"/>
          <w:bCs w:val="1"/>
          <w:color w:val="auto"/>
        </w:rPr>
      </w:pPr>
      <w:r>
        <w:rPr>
          <w:rFonts w:ascii="Arial" w:cs="Arial" w:eastAsia="Arial" w:hAnsi="Arial"/>
          <w:sz w:val="16"/>
          <w:szCs w:val="16"/>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or regulations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regulations or if specifically provided in the Offering, in addition to or instead of making Contributions by payroll deductions, a Participant may make Contributions through the payment by cash, check or wire transfer prior to a Purchase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54" w:name="page355"/>
    <w:bookmarkEnd w:id="354"/>
    <w:p>
      <w:pPr>
        <w:ind w:left="-8" w:right="100" w:firstLine="464"/>
        <w:spacing w:after="0" w:line="255" w:lineRule="auto"/>
        <w:tabs>
          <w:tab w:leader="none" w:pos="713"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85" w:lineRule="exact"/>
        <w:rPr>
          <w:rFonts w:ascii="Arial" w:cs="Arial" w:eastAsia="Arial" w:hAnsi="Arial"/>
          <w:sz w:val="18"/>
          <w:szCs w:val="18"/>
          <w:b w:val="1"/>
          <w:bCs w:val="1"/>
          <w:color w:val="auto"/>
        </w:rPr>
      </w:pPr>
    </w:p>
    <w:p>
      <w:pPr>
        <w:ind w:left="-8" w:right="300" w:firstLine="464"/>
        <w:spacing w:after="0" w:line="259" w:lineRule="auto"/>
        <w:tabs>
          <w:tab w:leader="none" w:pos="693"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or regulations,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as soon as practicable to such individual all of his or her accumulated but unused Contributions.</w:t>
      </w:r>
    </w:p>
    <w:p>
      <w:pPr>
        <w:spacing w:after="0" w:line="78" w:lineRule="exact"/>
        <w:rPr>
          <w:rFonts w:ascii="Arial" w:cs="Arial" w:eastAsia="Arial" w:hAnsi="Arial"/>
          <w:sz w:val="18"/>
          <w:szCs w:val="18"/>
          <w:b w:val="1"/>
          <w:bCs w:val="1"/>
          <w:color w:val="auto"/>
        </w:rPr>
      </w:pPr>
    </w:p>
    <w:p>
      <w:pPr>
        <w:ind w:left="-8" w:right="160" w:firstLine="464"/>
        <w:spacing w:after="0" w:line="342" w:lineRule="auto"/>
        <w:tabs>
          <w:tab w:leader="none" w:pos="713" w:val="left"/>
        </w:tabs>
        <w:numPr>
          <w:ilvl w:val="1"/>
          <w:numId w:val="354"/>
        </w:numPr>
        <w:rPr>
          <w:rFonts w:ascii="Arial" w:cs="Arial" w:eastAsia="Arial" w:hAnsi="Arial"/>
          <w:sz w:val="16"/>
          <w:szCs w:val="16"/>
          <w:b w:val="1"/>
          <w:bCs w:val="1"/>
          <w:color w:val="auto"/>
        </w:rPr>
      </w:pPr>
      <w:r>
        <w:rPr>
          <w:rFonts w:ascii="Arial" w:cs="Arial" w:eastAsia="Arial" w:hAnsi="Arial"/>
          <w:sz w:val="16"/>
          <w:szCs w:val="16"/>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5" w:lineRule="exact"/>
        <w:rPr>
          <w:rFonts w:ascii="Arial" w:cs="Arial" w:eastAsia="Arial" w:hAnsi="Arial"/>
          <w:sz w:val="16"/>
          <w:szCs w:val="16"/>
          <w:b w:val="1"/>
          <w:bCs w:val="1"/>
          <w:color w:val="auto"/>
        </w:rPr>
      </w:pPr>
    </w:p>
    <w:p>
      <w:pPr>
        <w:ind w:left="-8" w:right="420" w:firstLine="464"/>
        <w:spacing w:after="0" w:line="277" w:lineRule="auto"/>
        <w:tabs>
          <w:tab w:leader="none" w:pos="693"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Unless otherwise specified in the Offering or required by applicable law or regulations, the Company will have no obligation to pay interest on Contributions.</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 w:firstLine="464"/>
        <w:spacing w:after="0" w:line="264" w:lineRule="auto"/>
        <w:tabs>
          <w:tab w:leader="none" w:pos="703"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73" w:lineRule="exact"/>
        <w:rPr>
          <w:rFonts w:ascii="Arial" w:cs="Arial" w:eastAsia="Arial" w:hAnsi="Arial"/>
          <w:sz w:val="18"/>
          <w:szCs w:val="18"/>
          <w:b w:val="1"/>
          <w:bCs w:val="1"/>
          <w:color w:val="auto"/>
        </w:rPr>
      </w:pPr>
    </w:p>
    <w:p>
      <w:pPr>
        <w:ind w:left="-8" w:right="320" w:firstLine="464"/>
        <w:spacing w:after="0" w:line="259" w:lineRule="auto"/>
        <w:tabs>
          <w:tab w:leader="none" w:pos="713"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Offering, if any amount of accumulated Contributions remains in a Participant’s account after the purchase of shares of Common Stock on the final Purchase Date of an Offering, then such remaining amount will not roll over to the next Offering and will instead be distributed in full to such Participant after the final Purchase Date of such Offering without interest (unless otherwise required by applicable law or regulations).</w:t>
      </w:r>
    </w:p>
    <w:p>
      <w:pPr>
        <w:spacing w:after="0" w:line="78" w:lineRule="exact"/>
        <w:rPr>
          <w:rFonts w:ascii="Arial" w:cs="Arial" w:eastAsia="Arial" w:hAnsi="Arial"/>
          <w:sz w:val="18"/>
          <w:szCs w:val="18"/>
          <w:b w:val="1"/>
          <w:bCs w:val="1"/>
          <w:color w:val="auto"/>
        </w:rPr>
      </w:pPr>
    </w:p>
    <w:p>
      <w:pPr>
        <w:jc w:val="both"/>
        <w:ind w:left="-8" w:right="100" w:firstLine="464"/>
        <w:spacing w:after="0" w:line="264" w:lineRule="auto"/>
        <w:tabs>
          <w:tab w:leader="none" w:pos="693"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4" w:right="239" w:bottom="1440" w:gutter="0" w:footer="0" w:header="0"/>
        </w:sectPr>
      </w:pPr>
    </w:p>
    <w:bookmarkStart w:id="355" w:name="page356"/>
    <w:bookmarkEnd w:id="355"/>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and regulations, no Purchase Rights will be exercised and all accumulated but unused Contributions will be distributed to the Participants without interest.</w:t>
      </w:r>
    </w:p>
    <w:p>
      <w:pPr>
        <w:spacing w:after="0" w:line="181" w:lineRule="exact"/>
        <w:rPr>
          <w:sz w:val="20"/>
          <w:szCs w:val="20"/>
          <w:color w:val="auto"/>
        </w:rPr>
      </w:pPr>
    </w:p>
    <w:p>
      <w:pPr>
        <w:ind w:left="460" w:hanging="452"/>
        <w:spacing w:after="0"/>
        <w:tabs>
          <w:tab w:leader="none" w:pos="4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Company will seek to obtain from each federal,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01" w:lineRule="exact"/>
        <w:rPr>
          <w:sz w:val="20"/>
          <w:szCs w:val="20"/>
          <w:color w:val="auto"/>
        </w:rPr>
      </w:pPr>
    </w:p>
    <w:p>
      <w:pPr>
        <w:ind w:left="460" w:hanging="452"/>
        <w:spacing w:after="0"/>
        <w:tabs>
          <w:tab w:leader="none" w:pos="46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ENEFICIARY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100" w:firstLine="464"/>
        <w:spacing w:after="0" w:line="259" w:lineRule="auto"/>
        <w:tabs>
          <w:tab w:leader="none" w:pos="711" w:val="left"/>
        </w:tabs>
        <w:numPr>
          <w:ilvl w:val="1"/>
          <w:numId w:val="357"/>
        </w:numPr>
        <w:rPr>
          <w:rFonts w:ascii="Arial" w:cs="Arial" w:eastAsia="Arial" w:hAnsi="Arial"/>
          <w:sz w:val="18"/>
          <w:szCs w:val="18"/>
          <w:b w:val="1"/>
          <w:bCs w:val="1"/>
          <w:color w:val="auto"/>
        </w:rPr>
      </w:pPr>
      <w:r>
        <w:rPr>
          <w:rFonts w:ascii="Arial" w:cs="Arial" w:eastAsia="Arial" w:hAnsi="Arial"/>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78" w:lineRule="exact"/>
        <w:rPr>
          <w:rFonts w:ascii="Arial" w:cs="Arial" w:eastAsia="Arial" w:hAnsi="Arial"/>
          <w:sz w:val="18"/>
          <w:szCs w:val="18"/>
          <w:b w:val="1"/>
          <w:bCs w:val="1"/>
          <w:color w:val="auto"/>
        </w:rPr>
      </w:pPr>
    </w:p>
    <w:p>
      <w:pPr>
        <w:ind w:right="100" w:firstLine="464"/>
        <w:spacing w:after="0" w:line="302" w:lineRule="auto"/>
        <w:tabs>
          <w:tab w:leader="none" w:pos="721" w:val="left"/>
        </w:tabs>
        <w:numPr>
          <w:ilvl w:val="1"/>
          <w:numId w:val="357"/>
        </w:numPr>
        <w:rPr>
          <w:rFonts w:ascii="Arial" w:cs="Arial" w:eastAsia="Arial" w:hAnsi="Arial"/>
          <w:sz w:val="16"/>
          <w:szCs w:val="16"/>
          <w:b w:val="1"/>
          <w:bCs w:val="1"/>
          <w:color w:val="auto"/>
        </w:rPr>
      </w:pPr>
      <w:r>
        <w:rPr>
          <w:rFonts w:ascii="Arial" w:cs="Arial" w:eastAsia="Arial" w:hAnsi="Arial"/>
          <w:sz w:val="16"/>
          <w:szCs w:val="16"/>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to the Participant’s spouse, dependents or relatives, or if no spouse, dependent or relative is known to the Company, then to such other person as the Company may designate.</w:t>
      </w:r>
    </w:p>
    <w:p>
      <w:pPr>
        <w:spacing w:after="0" w:line="177" w:lineRule="exact"/>
        <w:rPr>
          <w:rFonts w:ascii="Arial" w:cs="Arial" w:eastAsia="Arial" w:hAnsi="Arial"/>
          <w:sz w:val="16"/>
          <w:szCs w:val="16"/>
          <w:b w:val="1"/>
          <w:bCs w:val="1"/>
          <w:color w:val="auto"/>
        </w:rPr>
      </w:pPr>
    </w:p>
    <w:p>
      <w:pPr>
        <w:ind w:left="460" w:hanging="452"/>
        <w:spacing w:after="0"/>
        <w:tabs>
          <w:tab w:leader="none" w:pos="46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C</w:t>
      </w:r>
      <w:r>
        <w:rPr>
          <w:rFonts w:ascii="Arial" w:cs="Arial" w:eastAsia="Arial" w:hAnsi="Arial"/>
          <w:sz w:val="15"/>
          <w:szCs w:val="15"/>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40" w:firstLine="464"/>
        <w:spacing w:after="0" w:line="279" w:lineRule="auto"/>
        <w:tabs>
          <w:tab w:leader="none" w:pos="711" w:val="left"/>
        </w:tabs>
        <w:numPr>
          <w:ilvl w:val="1"/>
          <w:numId w:val="357"/>
        </w:numPr>
        <w:rPr>
          <w:rFonts w:ascii="Arial" w:cs="Arial" w:eastAsia="Arial" w:hAnsi="Arial"/>
          <w:sz w:val="17"/>
          <w:szCs w:val="17"/>
          <w:b w:val="1"/>
          <w:bCs w:val="1"/>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356" w:name="page357"/>
    <w:bookmarkEnd w:id="35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limits under each ongoing Offering. The Board will make these adjustments, and its determination will be final, binding and conclusive.</w:t>
      </w:r>
    </w:p>
    <w:p>
      <w:pPr>
        <w:spacing w:after="0" w:line="129" w:lineRule="exact"/>
        <w:rPr>
          <w:sz w:val="20"/>
          <w:szCs w:val="20"/>
          <w:color w:val="auto"/>
        </w:rPr>
      </w:pPr>
    </w:p>
    <w:p>
      <w:pPr>
        <w:ind w:right="40" w:firstLine="464"/>
        <w:spacing w:after="0" w:line="293" w:lineRule="auto"/>
        <w:tabs>
          <w:tab w:leader="none" w:pos="721" w:val="left"/>
        </w:tabs>
        <w:numPr>
          <w:ilvl w:val="1"/>
          <w:numId w:val="358"/>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prior to the Corporate Transaction under the outstanding Purchase Rights, and the Purchase Rights will terminate immediately after such purchase.</w:t>
      </w:r>
    </w:p>
    <w:p>
      <w:pPr>
        <w:spacing w:after="0" w:line="187" w:lineRule="exact"/>
        <w:rPr>
          <w:rFonts w:ascii="Arial" w:cs="Arial" w:eastAsia="Arial" w:hAnsi="Arial"/>
          <w:sz w:val="16"/>
          <w:szCs w:val="16"/>
          <w:b w:val="1"/>
          <w:bCs w:val="1"/>
          <w:color w:val="auto"/>
        </w:rPr>
      </w:pPr>
    </w:p>
    <w:p>
      <w:pPr>
        <w:ind w:left="460" w:hanging="452"/>
        <w:spacing w:after="0"/>
        <w:tabs>
          <w:tab w:leader="none" w:pos="4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MENDMENT</w:t>
      </w:r>
      <w:r>
        <w:rPr>
          <w:rFonts w:ascii="Arial" w:cs="Arial" w:eastAsia="Arial" w:hAnsi="Arial"/>
          <w:sz w:val="18"/>
          <w:szCs w:val="18"/>
          <w:b w:val="1"/>
          <w:bCs w:val="1"/>
          <w:color w:val="auto"/>
        </w:rPr>
        <w:t>, T</w:t>
      </w:r>
      <w:r>
        <w:rPr>
          <w:rFonts w:ascii="Arial" w:cs="Arial" w:eastAsia="Arial" w:hAnsi="Arial"/>
          <w:sz w:val="15"/>
          <w:szCs w:val="15"/>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right="240" w:firstLine="464"/>
        <w:spacing w:after="0" w:line="264" w:lineRule="auto"/>
        <w:tabs>
          <w:tab w:leader="none" w:pos="711" w:val="left"/>
        </w:tabs>
        <w:numPr>
          <w:ilvl w:val="1"/>
          <w:numId w:val="359"/>
        </w:numPr>
        <w:rPr>
          <w:rFonts w:ascii="Arial" w:cs="Arial" w:eastAsia="Arial" w:hAnsi="Arial"/>
          <w:sz w:val="18"/>
          <w:szCs w:val="18"/>
          <w:b w:val="1"/>
          <w:bCs w:val="1"/>
          <w:color w:val="auto"/>
        </w:rPr>
      </w:pPr>
      <w:r>
        <w:rPr>
          <w:rFonts w:ascii="Arial" w:cs="Arial" w:eastAsia="Arial" w:hAnsi="Arial"/>
          <w:sz w:val="18"/>
          <w:szCs w:val="18"/>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regulations or listing requirements.</w:t>
      </w:r>
    </w:p>
    <w:p>
      <w:pPr>
        <w:spacing w:after="0" w:line="73" w:lineRule="exact"/>
        <w:rPr>
          <w:rFonts w:ascii="Arial" w:cs="Arial" w:eastAsia="Arial" w:hAnsi="Arial"/>
          <w:sz w:val="18"/>
          <w:szCs w:val="18"/>
          <w:b w:val="1"/>
          <w:bCs w:val="1"/>
          <w:color w:val="auto"/>
        </w:rPr>
      </w:pPr>
    </w:p>
    <w:p>
      <w:pPr>
        <w:ind w:right="40" w:firstLine="464"/>
        <w:spacing w:after="0" w:line="277" w:lineRule="auto"/>
        <w:tabs>
          <w:tab w:leader="none" w:pos="721" w:val="left"/>
        </w:tabs>
        <w:numPr>
          <w:ilvl w:val="1"/>
          <w:numId w:val="359"/>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62" w:lineRule="exact"/>
        <w:rPr>
          <w:rFonts w:ascii="Arial" w:cs="Arial" w:eastAsia="Arial" w:hAnsi="Arial"/>
          <w:sz w:val="18"/>
          <w:szCs w:val="18"/>
          <w:b w:val="1"/>
          <w:bCs w:val="1"/>
          <w:color w:val="auto"/>
        </w:rPr>
      </w:pPr>
    </w:p>
    <w:p>
      <w:pPr>
        <w:ind w:firstLine="464"/>
        <w:spacing w:after="0" w:line="284" w:lineRule="auto"/>
        <w:tabs>
          <w:tab w:leader="none" w:pos="701" w:val="left"/>
        </w:tabs>
        <w:numPr>
          <w:ilvl w:val="1"/>
          <w:numId w:val="359"/>
        </w:numPr>
        <w:rPr>
          <w:rFonts w:ascii="Arial" w:cs="Arial" w:eastAsia="Arial" w:hAnsi="Arial"/>
          <w:sz w:val="16"/>
          <w:szCs w:val="16"/>
          <w:b w:val="1"/>
          <w:bCs w:val="1"/>
          <w:color w:val="auto"/>
        </w:rPr>
      </w:pPr>
      <w:r>
        <w:rPr>
          <w:rFonts w:ascii="Arial" w:cs="Arial" w:eastAsia="Arial" w:hAnsi="Arial"/>
          <w:sz w:val="16"/>
          <w:szCs w:val="16"/>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w:t>
      </w:r>
    </w:p>
    <w:p>
      <w:pPr>
        <w:spacing w:after="0" w:line="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423 of the Code.</w:t>
      </w:r>
    </w:p>
    <w:p>
      <w:pPr>
        <w:spacing w:after="0" w:line="233" w:lineRule="exact"/>
        <w:rPr>
          <w:rFonts w:ascii="Arial" w:cs="Arial" w:eastAsia="Arial" w:hAnsi="Arial"/>
          <w:sz w:val="16"/>
          <w:szCs w:val="16"/>
          <w:b w:val="1"/>
          <w:bCs w:val="1"/>
          <w:color w:val="auto"/>
        </w:rPr>
      </w:pPr>
    </w:p>
    <w:p>
      <w:pPr>
        <w:ind w:left="460" w:hanging="452"/>
        <w:spacing w:after="0"/>
        <w:tabs>
          <w:tab w:leader="none" w:pos="4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04" w:lineRule="exact"/>
        <w:rPr>
          <w:sz w:val="20"/>
          <w:szCs w:val="20"/>
          <w:color w:val="auto"/>
        </w:rPr>
      </w:pPr>
    </w:p>
    <w:p>
      <w:pPr>
        <w:ind w:left="460" w:hanging="452"/>
        <w:spacing w:after="0"/>
        <w:tabs>
          <w:tab w:leader="none" w:pos="46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5660" w:right="1620" w:hanging="5196"/>
        <w:spacing w:after="0" w:line="449" w:lineRule="auto"/>
        <w:tabs>
          <w:tab w:leader="none" w:pos="710" w:val="left"/>
        </w:tabs>
        <w:numPr>
          <w:ilvl w:val="1"/>
          <w:numId w:val="360"/>
        </w:numPr>
        <w:rPr>
          <w:rFonts w:ascii="Arial" w:cs="Arial" w:eastAsia="Arial" w:hAnsi="Arial"/>
          <w:sz w:val="18"/>
          <w:szCs w:val="18"/>
          <w:b w:val="1"/>
          <w:bCs w:val="1"/>
          <w:color w:val="auto"/>
        </w:rPr>
      </w:pPr>
      <w:r>
        <w:rPr>
          <w:rFonts w:ascii="Arial" w:cs="Arial" w:eastAsia="Arial" w:hAnsi="Arial"/>
          <w:sz w:val="18"/>
          <w:szCs w:val="18"/>
          <w:color w:val="auto"/>
        </w:rPr>
        <w:t>Proceeds from the sale of shares of Common Stock pursuant to Purchase Rights will constitute general funds of the Company. 8</w:t>
      </w:r>
    </w:p>
    <w:p>
      <w:pPr>
        <w:sectPr>
          <w:pgSz w:w="11900" w:h="16838" w:orient="portrait"/>
          <w:cols w:equalWidth="0" w:num="1">
            <w:col w:w="11420"/>
          </w:cols>
          <w:pgMar w:left="240" w:top="274" w:right="239" w:bottom="1440" w:gutter="0" w:footer="0" w:header="0"/>
        </w:sectPr>
      </w:pPr>
    </w:p>
    <w:bookmarkStart w:id="357" w:name="page358"/>
    <w:bookmarkEnd w:id="357"/>
    <w:p>
      <w:pPr>
        <w:ind w:left="-8" w:right="280" w:firstLine="464"/>
        <w:spacing w:after="0" w:line="264" w:lineRule="auto"/>
        <w:tabs>
          <w:tab w:leader="none" w:pos="713" w:val="left"/>
        </w:tabs>
        <w:numPr>
          <w:ilvl w:val="0"/>
          <w:numId w:val="36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73" w:lineRule="exact"/>
        <w:rPr>
          <w:rFonts w:ascii="Arial" w:cs="Arial" w:eastAsia="Arial" w:hAnsi="Arial"/>
          <w:sz w:val="18"/>
          <w:szCs w:val="18"/>
          <w:b w:val="1"/>
          <w:bCs w:val="1"/>
          <w:color w:val="auto"/>
        </w:rPr>
      </w:pPr>
    </w:p>
    <w:p>
      <w:pPr>
        <w:ind w:left="-8" w:firstLine="464"/>
        <w:spacing w:after="0" w:line="286" w:lineRule="auto"/>
        <w:tabs>
          <w:tab w:leader="none" w:pos="693" w:val="left"/>
        </w:tabs>
        <w:numPr>
          <w:ilvl w:val="0"/>
          <w:numId w:val="361"/>
        </w:numPr>
        <w:rPr>
          <w:rFonts w:ascii="Arial" w:cs="Arial" w:eastAsia="Arial" w:hAnsi="Arial"/>
          <w:sz w:val="17"/>
          <w:szCs w:val="17"/>
          <w:b w:val="1"/>
          <w:bCs w:val="1"/>
          <w:color w:val="auto"/>
        </w:rPr>
      </w:pPr>
      <w:r>
        <w:rPr>
          <w:rFonts w:ascii="Arial" w:cs="Arial" w:eastAsia="Arial" w:hAnsi="Arial"/>
          <w:sz w:val="17"/>
          <w:szCs w:val="17"/>
          <w:color w:val="auto"/>
        </w:rPr>
        <w:t>The Plan and Offering do not constitute an employment contract. Nothing in the Plan or in the Offering will in any way alter the at will nature of a Participant’s employment, if applicable,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57" w:lineRule="exact"/>
        <w:rPr>
          <w:rFonts w:ascii="Arial" w:cs="Arial" w:eastAsia="Arial" w:hAnsi="Arial"/>
          <w:sz w:val="17"/>
          <w:szCs w:val="17"/>
          <w:b w:val="1"/>
          <w:bCs w:val="1"/>
          <w:color w:val="auto"/>
        </w:rPr>
      </w:pPr>
    </w:p>
    <w:p>
      <w:pPr>
        <w:ind w:left="712" w:hanging="256"/>
        <w:spacing w:after="0"/>
        <w:tabs>
          <w:tab w:leader="none" w:pos="712" w:val="left"/>
        </w:tabs>
        <w:numPr>
          <w:ilvl w:val="0"/>
          <w:numId w:val="361"/>
        </w:numPr>
        <w:rPr>
          <w:rFonts w:ascii="Arial" w:cs="Arial" w:eastAsia="Arial" w:hAnsi="Arial"/>
          <w:sz w:val="18"/>
          <w:szCs w:val="18"/>
          <w:b w:val="1"/>
          <w:bCs w:val="1"/>
          <w:color w:val="auto"/>
        </w:rPr>
      </w:pPr>
      <w:r>
        <w:rPr>
          <w:rFonts w:ascii="Arial" w:cs="Arial" w:eastAsia="Arial" w:hAnsi="Arial"/>
          <w:sz w:val="18"/>
          <w:szCs w:val="18"/>
          <w:color w:val="auto"/>
        </w:rPr>
        <w:t>The provisions of the Plan will be governed by the laws of the State of Delaware without resort to that state’s conflicts of laws rules.</w:t>
      </w:r>
    </w:p>
    <w:p>
      <w:pPr>
        <w:spacing w:after="0" w:line="117" w:lineRule="exact"/>
        <w:rPr>
          <w:rFonts w:ascii="Arial" w:cs="Arial" w:eastAsia="Arial" w:hAnsi="Arial"/>
          <w:sz w:val="18"/>
          <w:szCs w:val="18"/>
          <w:b w:val="1"/>
          <w:bCs w:val="1"/>
          <w:color w:val="auto"/>
        </w:rPr>
      </w:pPr>
    </w:p>
    <w:p>
      <w:pPr>
        <w:ind w:left="-8" w:right="240" w:firstLine="464"/>
        <w:spacing w:after="0" w:line="277" w:lineRule="auto"/>
        <w:tabs>
          <w:tab w:leader="none" w:pos="693" w:val="left"/>
        </w:tabs>
        <w:numPr>
          <w:ilvl w:val="0"/>
          <w:numId w:val="361"/>
        </w:numPr>
        <w:rPr>
          <w:rFonts w:ascii="Arial" w:cs="Arial" w:eastAsia="Arial" w:hAnsi="Arial"/>
          <w:sz w:val="18"/>
          <w:szCs w:val="18"/>
          <w:b w:val="1"/>
          <w:bCs w:val="1"/>
          <w:color w:val="auto"/>
        </w:rPr>
      </w:pPr>
      <w:r>
        <w:rPr>
          <w:rFonts w:ascii="Arial" w:cs="Arial" w:eastAsia="Arial" w:hAnsi="Arial"/>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62" w:lineRule="exact"/>
        <w:rPr>
          <w:rFonts w:ascii="Arial" w:cs="Arial" w:eastAsia="Arial" w:hAnsi="Arial"/>
          <w:sz w:val="18"/>
          <w:szCs w:val="18"/>
          <w:b w:val="1"/>
          <w:bCs w:val="1"/>
          <w:color w:val="auto"/>
        </w:rPr>
      </w:pPr>
    </w:p>
    <w:p>
      <w:pPr>
        <w:ind w:left="-8" w:right="240" w:firstLine="464"/>
        <w:spacing w:after="0" w:line="277" w:lineRule="auto"/>
        <w:tabs>
          <w:tab w:leader="none" w:pos="673" w:val="left"/>
        </w:tabs>
        <w:numPr>
          <w:ilvl w:val="0"/>
          <w:numId w:val="361"/>
        </w:numPr>
        <w:rPr>
          <w:rFonts w:ascii="Arial" w:cs="Arial" w:eastAsia="Arial" w:hAnsi="Arial"/>
          <w:sz w:val="18"/>
          <w:szCs w:val="18"/>
          <w:b w:val="1"/>
          <w:bCs w:val="1"/>
          <w:color w:val="auto"/>
        </w:rPr>
      </w:pPr>
      <w:r>
        <w:rPr>
          <w:rFonts w:ascii="Arial" w:cs="Arial" w:eastAsia="Arial" w:hAnsi="Arial"/>
          <w:sz w:val="18"/>
          <w:szCs w:val="18"/>
          <w:color w:val="auto"/>
        </w:rPr>
        <w:t>If any provision of the Plan does not comply with applicable law or regulations, such provision shall be construed in such a manner as to comply with applicable law or regulations.</w:t>
      </w:r>
    </w:p>
    <w:p>
      <w:pPr>
        <w:spacing w:after="0" w:line="193" w:lineRule="exact"/>
        <w:rPr>
          <w:sz w:val="20"/>
          <w:szCs w:val="20"/>
          <w:color w:val="auto"/>
        </w:rPr>
      </w:pPr>
    </w:p>
    <w:p>
      <w:pPr>
        <w:ind w:left="452" w:hanging="452"/>
        <w:spacing w:after="0"/>
        <w:tabs>
          <w:tab w:leader="none" w:pos="452"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117" w:lineRule="exact"/>
        <w:rPr>
          <w:sz w:val="20"/>
          <w:szCs w:val="20"/>
          <w:color w:val="auto"/>
        </w:rPr>
      </w:pPr>
    </w:p>
    <w:p>
      <w:pPr>
        <w:ind w:left="712" w:hanging="256"/>
        <w:spacing w:after="0"/>
        <w:tabs>
          <w:tab w:leader="none" w:pos="712"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b w:val="1"/>
          <w:bCs w:val="1"/>
          <w:color w:val="auto"/>
        </w:rPr>
      </w:pPr>
    </w:p>
    <w:p>
      <w:pPr>
        <w:ind w:left="712" w:hanging="256"/>
        <w:spacing w:after="0"/>
        <w:tabs>
          <w:tab w:leader="none" w:pos="712"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each and every class of common stock of the Company, regardless of the number of votes per share.</w:t>
      </w:r>
    </w:p>
    <w:p>
      <w:pPr>
        <w:spacing w:after="0" w:line="117" w:lineRule="exact"/>
        <w:rPr>
          <w:rFonts w:ascii="Arial" w:cs="Arial" w:eastAsia="Arial" w:hAnsi="Arial"/>
          <w:sz w:val="18"/>
          <w:szCs w:val="18"/>
          <w:b w:val="1"/>
          <w:bCs w:val="1"/>
          <w:color w:val="auto"/>
        </w:rPr>
      </w:pPr>
    </w:p>
    <w:p>
      <w:pPr>
        <w:ind w:left="-8" w:right="20" w:firstLine="464"/>
        <w:spacing w:after="0" w:line="273" w:lineRule="auto"/>
        <w:tabs>
          <w:tab w:leader="none" w:pos="693" w:val="left"/>
        </w:tabs>
        <w:numPr>
          <w:ilvl w:val="0"/>
          <w:numId w:val="36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Capitalization Adjustment</w:t>
      </w:r>
      <w:r>
        <w:rPr>
          <w:rFonts w:ascii="Arial" w:cs="Arial" w:eastAsia="Arial" w:hAnsi="Arial"/>
          <w:sz w:val="17"/>
          <w:szCs w:val="17"/>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70" w:lineRule="exact"/>
        <w:rPr>
          <w:rFonts w:ascii="Arial" w:cs="Arial" w:eastAsia="Arial" w:hAnsi="Arial"/>
          <w:sz w:val="17"/>
          <w:szCs w:val="17"/>
          <w:b w:val="1"/>
          <w:bCs w:val="1"/>
          <w:color w:val="auto"/>
        </w:rPr>
      </w:pPr>
    </w:p>
    <w:p>
      <w:pPr>
        <w:ind w:left="712" w:hanging="256"/>
        <w:spacing w:after="0"/>
        <w:tabs>
          <w:tab w:leader="none" w:pos="712"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b w:val="1"/>
          <w:bCs w:val="1"/>
          <w:color w:val="auto"/>
        </w:rPr>
      </w:pPr>
    </w:p>
    <w:p>
      <w:pPr>
        <w:ind w:left="-8" w:right="340" w:firstLine="464"/>
        <w:spacing w:after="0" w:line="277" w:lineRule="auto"/>
        <w:tabs>
          <w:tab w:leader="none" w:pos="693"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 with Section 2(c).</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52"/>
          </w:cols>
          <w:pgMar w:left="248" w:top="274" w:right="299" w:bottom="1440" w:gutter="0" w:footer="0" w:header="0"/>
        </w:sectPr>
      </w:pPr>
    </w:p>
    <w:bookmarkStart w:id="358" w:name="page359"/>
    <w:bookmarkEnd w:id="358"/>
    <w:p>
      <w:pPr>
        <w:ind w:left="680" w:hanging="216"/>
        <w:spacing w:after="0"/>
        <w:tabs>
          <w:tab w:leader="none" w:pos="680"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as of the IPO Date, the common stock of the Company, having one vote per share.</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Forty Seven, Inc., a Delaware corporation.</w:t>
      </w:r>
    </w:p>
    <w:p>
      <w:pPr>
        <w:spacing w:after="0" w:line="117" w:lineRule="exact"/>
        <w:rPr>
          <w:rFonts w:ascii="Arial" w:cs="Arial" w:eastAsia="Arial" w:hAnsi="Arial"/>
          <w:sz w:val="18"/>
          <w:szCs w:val="18"/>
          <w:b w:val="1"/>
          <w:bCs w:val="1"/>
          <w:color w:val="auto"/>
        </w:rPr>
      </w:pPr>
    </w:p>
    <w:p>
      <w:pPr>
        <w:jc w:val="both"/>
        <w:ind w:right="20" w:firstLine="464"/>
        <w:spacing w:after="0" w:line="312" w:lineRule="auto"/>
        <w:tabs>
          <w:tab w:leader="none" w:pos="721" w:val="left"/>
        </w:tabs>
        <w:numPr>
          <w:ilvl w:val="0"/>
          <w:numId w:val="3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Contributions</w:t>
      </w:r>
      <w:r>
        <w:rPr>
          <w:rFonts w:ascii="Arial" w:cs="Arial" w:eastAsia="Arial" w:hAnsi="Arial"/>
          <w:sz w:val="16"/>
          <w:szCs w:val="16"/>
          <w:color w:val="auto"/>
        </w:rPr>
        <w:t>”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38" w:lineRule="exact"/>
        <w:rPr>
          <w:rFonts w:ascii="Arial" w:cs="Arial" w:eastAsia="Arial" w:hAnsi="Arial"/>
          <w:sz w:val="16"/>
          <w:szCs w:val="16"/>
          <w:b w:val="1"/>
          <w:bCs w:val="1"/>
          <w:color w:val="auto"/>
        </w:rPr>
      </w:pPr>
    </w:p>
    <w:p>
      <w:pPr>
        <w:ind w:left="680" w:hanging="216"/>
        <w:spacing w:after="0"/>
        <w:tabs>
          <w:tab w:leader="none" w:pos="680" w:val="left"/>
        </w:tabs>
        <w:numPr>
          <w:ilvl w:val="0"/>
          <w:numId w:val="3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consummation,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02" w:lineRule="exact"/>
        <w:rPr>
          <w:rFonts w:ascii="Arial" w:cs="Arial" w:eastAsia="Arial" w:hAnsi="Arial"/>
          <w:sz w:val="16"/>
          <w:szCs w:val="16"/>
          <w:b w:val="1"/>
          <w:bCs w:val="1"/>
          <w:color w:val="auto"/>
        </w:rPr>
      </w:pPr>
    </w:p>
    <w:p>
      <w:pPr>
        <w:ind w:right="620" w:firstLine="921"/>
        <w:spacing w:after="0" w:line="277" w:lineRule="auto"/>
        <w:tabs>
          <w:tab w:leader="none" w:pos="1128" w:val="left"/>
        </w:tabs>
        <w:numPr>
          <w:ilvl w:val="1"/>
          <w:numId w:val="364"/>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1"/>
          <w:numId w:val="364"/>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117" w:lineRule="exact"/>
        <w:rPr>
          <w:rFonts w:ascii="Arial" w:cs="Arial" w:eastAsia="Arial" w:hAnsi="Arial"/>
          <w:sz w:val="18"/>
          <w:szCs w:val="18"/>
          <w:b w:val="1"/>
          <w:bCs w:val="1"/>
          <w:color w:val="auto"/>
        </w:rPr>
      </w:pPr>
    </w:p>
    <w:p>
      <w:pPr>
        <w:ind w:left="1240" w:hanging="319"/>
        <w:spacing w:after="0"/>
        <w:tabs>
          <w:tab w:leader="none" w:pos="1240" w:val="left"/>
        </w:tabs>
        <w:numPr>
          <w:ilvl w:val="1"/>
          <w:numId w:val="364"/>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17" w:lineRule="exact"/>
        <w:rPr>
          <w:rFonts w:ascii="Arial" w:cs="Arial" w:eastAsia="Arial" w:hAnsi="Arial"/>
          <w:sz w:val="18"/>
          <w:szCs w:val="18"/>
          <w:b w:val="1"/>
          <w:bCs w:val="1"/>
          <w:color w:val="auto"/>
        </w:rPr>
      </w:pPr>
    </w:p>
    <w:p>
      <w:pPr>
        <w:ind w:right="180" w:firstLine="921"/>
        <w:spacing w:after="0" w:line="264" w:lineRule="auto"/>
        <w:tabs>
          <w:tab w:leader="none" w:pos="1218" w:val="left"/>
        </w:tabs>
        <w:numPr>
          <w:ilvl w:val="1"/>
          <w:numId w:val="364"/>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3" w:lineRule="exact"/>
        <w:rPr>
          <w:rFonts w:ascii="Arial" w:cs="Arial" w:eastAsia="Arial" w:hAnsi="Arial"/>
          <w:sz w:val="18"/>
          <w:szCs w:val="18"/>
          <w:b w:val="1"/>
          <w:bCs w:val="1"/>
          <w:color w:val="auto"/>
        </w:rPr>
      </w:pPr>
    </w:p>
    <w:p>
      <w:pPr>
        <w:ind w:left="680" w:hanging="216"/>
        <w:spacing w:after="0"/>
        <w:tabs>
          <w:tab w:leader="none" w:pos="680"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ind w:right="620" w:firstLine="464"/>
        <w:spacing w:after="0" w:line="342" w:lineRule="auto"/>
        <w:tabs>
          <w:tab w:leader="none" w:pos="721" w:val="left"/>
        </w:tabs>
        <w:numPr>
          <w:ilvl w:val="0"/>
          <w:numId w:val="3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5" w:lineRule="exact"/>
        <w:rPr>
          <w:rFonts w:ascii="Arial" w:cs="Arial" w:eastAsia="Arial" w:hAnsi="Arial"/>
          <w:sz w:val="16"/>
          <w:szCs w:val="16"/>
          <w:b w:val="1"/>
          <w:bCs w:val="1"/>
          <w:color w:val="auto"/>
        </w:rPr>
      </w:pPr>
    </w:p>
    <w:p>
      <w:pPr>
        <w:ind w:firstLine="464"/>
        <w:spacing w:after="0" w:line="264" w:lineRule="auto"/>
        <w:tabs>
          <w:tab w:leader="none" w:pos="671"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73" w:lineRule="exact"/>
        <w:rPr>
          <w:rFonts w:ascii="Arial" w:cs="Arial" w:eastAsia="Arial" w:hAnsi="Arial"/>
          <w:sz w:val="18"/>
          <w:szCs w:val="18"/>
          <w:b w:val="1"/>
          <w:bCs w:val="1"/>
          <w:color w:val="auto"/>
        </w:rPr>
      </w:pPr>
    </w:p>
    <w:p>
      <w:pPr>
        <w:ind w:right="340" w:firstLine="464"/>
        <w:spacing w:after="0" w:line="277" w:lineRule="auto"/>
        <w:tabs>
          <w:tab w:leader="none" w:pos="771"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62" w:lineRule="exact"/>
        <w:rPr>
          <w:rFonts w:ascii="Arial" w:cs="Arial" w:eastAsia="Arial" w:hAnsi="Arial"/>
          <w:sz w:val="18"/>
          <w:szCs w:val="18"/>
          <w:b w:val="1"/>
          <w:bCs w:val="1"/>
          <w:color w:val="auto"/>
        </w:rPr>
      </w:pPr>
    </w:p>
    <w:p>
      <w:pPr>
        <w:ind w:left="720" w:hanging="256"/>
        <w:spacing w:after="0"/>
        <w:tabs>
          <w:tab w:leader="none" w:pos="720"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359" w:name="page360"/>
    <w:bookmarkEnd w:id="359"/>
    <w:p>
      <w:pPr>
        <w:ind w:left="700" w:hanging="256"/>
        <w:spacing w:after="0"/>
        <w:tabs>
          <w:tab w:leader="none" w:pos="700"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117" w:lineRule="exact"/>
        <w:rPr>
          <w:rFonts w:ascii="Arial" w:cs="Arial" w:eastAsia="Arial" w:hAnsi="Arial"/>
          <w:sz w:val="18"/>
          <w:szCs w:val="18"/>
          <w:b w:val="1"/>
          <w:bCs w:val="1"/>
          <w:color w:val="auto"/>
        </w:rPr>
      </w:pPr>
    </w:p>
    <w:p>
      <w:pPr>
        <w:ind w:left="-20" w:right="100" w:firstLine="921"/>
        <w:spacing w:after="0" w:line="257" w:lineRule="auto"/>
        <w:tabs>
          <w:tab w:leader="none" w:pos="1108"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80" w:lineRule="exact"/>
        <w:rPr>
          <w:rFonts w:ascii="Arial" w:cs="Arial" w:eastAsia="Arial" w:hAnsi="Arial"/>
          <w:sz w:val="18"/>
          <w:szCs w:val="18"/>
          <w:b w:val="1"/>
          <w:bCs w:val="1"/>
          <w:color w:val="auto"/>
        </w:rPr>
      </w:pPr>
    </w:p>
    <w:p>
      <w:pPr>
        <w:ind w:left="-20" w:right="260" w:firstLine="921"/>
        <w:spacing w:after="0" w:line="277" w:lineRule="auto"/>
        <w:tabs>
          <w:tab w:leader="none" w:pos="1158"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in compliance with applicable laws and regulations and in a manner that complies with Sections 409A of the Code</w:t>
      </w:r>
    </w:p>
    <w:p>
      <w:pPr>
        <w:spacing w:after="0" w:line="62" w:lineRule="exact"/>
        <w:rPr>
          <w:rFonts w:ascii="Arial" w:cs="Arial" w:eastAsia="Arial" w:hAnsi="Arial"/>
          <w:sz w:val="18"/>
          <w:szCs w:val="18"/>
          <w:b w:val="1"/>
          <w:bCs w:val="1"/>
          <w:color w:val="auto"/>
        </w:rPr>
      </w:pPr>
    </w:p>
    <w:p>
      <w:pPr>
        <w:ind w:left="-20" w:right="60" w:firstLine="921"/>
        <w:spacing w:after="0" w:line="264" w:lineRule="auto"/>
        <w:tabs>
          <w:tab w:leader="none" w:pos="1208"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73" w:lineRule="exact"/>
        <w:rPr>
          <w:rFonts w:ascii="Arial" w:cs="Arial" w:eastAsia="Arial" w:hAnsi="Arial"/>
          <w:sz w:val="18"/>
          <w:szCs w:val="18"/>
          <w:b w:val="1"/>
          <w:bCs w:val="1"/>
          <w:color w:val="auto"/>
        </w:rPr>
      </w:pPr>
    </w:p>
    <w:p>
      <w:pPr>
        <w:ind w:left="-20" w:right="220" w:firstLine="464"/>
        <w:spacing w:after="0" w:line="277" w:lineRule="auto"/>
        <w:tabs>
          <w:tab w:leader="none" w:pos="701"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62" w:lineRule="exact"/>
        <w:rPr>
          <w:rFonts w:ascii="Arial" w:cs="Arial" w:eastAsia="Arial" w:hAnsi="Arial"/>
          <w:sz w:val="18"/>
          <w:szCs w:val="18"/>
          <w:b w:val="1"/>
          <w:bCs w:val="1"/>
          <w:color w:val="auto"/>
        </w:rPr>
      </w:pPr>
    </w:p>
    <w:p>
      <w:pPr>
        <w:ind w:left="-20" w:firstLine="464"/>
        <w:spacing w:after="0" w:line="264" w:lineRule="auto"/>
        <w:tabs>
          <w:tab w:leader="none" w:pos="701"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73" w:lineRule="exact"/>
        <w:rPr>
          <w:rFonts w:ascii="Arial" w:cs="Arial" w:eastAsia="Arial" w:hAnsi="Arial"/>
          <w:sz w:val="18"/>
          <w:szCs w:val="18"/>
          <w:b w:val="1"/>
          <w:bCs w:val="1"/>
          <w:color w:val="auto"/>
        </w:rPr>
      </w:pPr>
    </w:p>
    <w:p>
      <w:pPr>
        <w:ind w:left="680" w:hanging="236"/>
        <w:spacing w:after="0"/>
        <w:tabs>
          <w:tab w:leader="none" w:pos="680"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117" w:lineRule="exact"/>
        <w:rPr>
          <w:rFonts w:ascii="Arial" w:cs="Arial" w:eastAsia="Arial" w:hAnsi="Arial"/>
          <w:sz w:val="18"/>
          <w:szCs w:val="18"/>
          <w:b w:val="1"/>
          <w:bCs w:val="1"/>
          <w:color w:val="auto"/>
        </w:rPr>
      </w:pPr>
    </w:p>
    <w:p>
      <w:pPr>
        <w:ind w:left="680" w:hanging="236"/>
        <w:spacing w:after="0"/>
        <w:tabs>
          <w:tab w:leader="none" w:pos="680" w:val="left"/>
        </w:tabs>
        <w:numPr>
          <w:ilvl w:val="0"/>
          <w:numId w:val="3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means a person who is an officer of the Company or a Related Corporation within the meaning of Section 16 of the Exchange Act.</w:t>
      </w:r>
    </w:p>
    <w:p>
      <w:pPr>
        <w:spacing w:after="0" w:line="128" w:lineRule="exact"/>
        <w:rPr>
          <w:rFonts w:ascii="Arial" w:cs="Arial" w:eastAsia="Arial" w:hAnsi="Arial"/>
          <w:sz w:val="17"/>
          <w:szCs w:val="17"/>
          <w:b w:val="1"/>
          <w:bCs w:val="1"/>
          <w:color w:val="auto"/>
        </w:rPr>
      </w:pPr>
    </w:p>
    <w:p>
      <w:pPr>
        <w:ind w:left="660" w:hanging="216"/>
        <w:spacing w:after="0"/>
        <w:tabs>
          <w:tab w:leader="none" w:pos="660"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117" w:lineRule="exact"/>
        <w:rPr>
          <w:rFonts w:ascii="Arial" w:cs="Arial" w:eastAsia="Arial" w:hAnsi="Arial"/>
          <w:sz w:val="18"/>
          <w:szCs w:val="18"/>
          <w:b w:val="1"/>
          <w:bCs w:val="1"/>
          <w:color w:val="auto"/>
        </w:rPr>
      </w:pPr>
    </w:p>
    <w:p>
      <w:pPr>
        <w:ind w:left="700" w:hanging="256"/>
        <w:spacing w:after="0"/>
        <w:tabs>
          <w:tab w:leader="none" w:pos="700"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Forty Seven, Inc. 2018 Employee Stock Purchase Plan.</w:t>
      </w:r>
    </w:p>
    <w:p>
      <w:pPr>
        <w:spacing w:after="0" w:line="117" w:lineRule="exact"/>
        <w:rPr>
          <w:rFonts w:ascii="Arial" w:cs="Arial" w:eastAsia="Arial" w:hAnsi="Arial"/>
          <w:sz w:val="18"/>
          <w:szCs w:val="18"/>
          <w:b w:val="1"/>
          <w:bCs w:val="1"/>
          <w:color w:val="auto"/>
        </w:rPr>
      </w:pPr>
    </w:p>
    <w:p>
      <w:pPr>
        <w:ind w:left="-20" w:right="400" w:firstLine="464"/>
        <w:spacing w:after="0" w:line="277" w:lineRule="auto"/>
        <w:tabs>
          <w:tab w:leader="none" w:pos="691"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62" w:lineRule="exact"/>
        <w:rPr>
          <w:rFonts w:ascii="Arial" w:cs="Arial" w:eastAsia="Arial" w:hAnsi="Arial"/>
          <w:sz w:val="18"/>
          <w:szCs w:val="18"/>
          <w:b w:val="1"/>
          <w:bCs w:val="1"/>
          <w:color w:val="auto"/>
        </w:rPr>
      </w:pPr>
    </w:p>
    <w:p>
      <w:pPr>
        <w:ind w:left="-20" w:right="440" w:firstLine="464"/>
        <w:spacing w:after="0" w:line="277" w:lineRule="auto"/>
        <w:tabs>
          <w:tab w:leader="none" w:pos="731"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360" w:name="page361"/>
    <w:bookmarkEnd w:id="360"/>
    <w:p>
      <w:pPr>
        <w:ind w:left="480" w:hanging="256"/>
        <w:spacing w:after="0"/>
        <w:tabs>
          <w:tab w:leader="none" w:pos="480"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shares of Common Stock granted pursuant to the Plan.</w:t>
      </w:r>
    </w:p>
    <w:p>
      <w:pPr>
        <w:spacing w:after="0" w:line="117" w:lineRule="exact"/>
        <w:rPr>
          <w:rFonts w:ascii="Arial" w:cs="Arial" w:eastAsia="Arial" w:hAnsi="Arial"/>
          <w:sz w:val="18"/>
          <w:szCs w:val="18"/>
          <w:b w:val="1"/>
          <w:bCs w:val="1"/>
          <w:color w:val="auto"/>
        </w:rPr>
      </w:pPr>
    </w:p>
    <w:p>
      <w:pPr>
        <w:ind w:left="-240" w:firstLine="464"/>
        <w:spacing w:after="0" w:line="277" w:lineRule="auto"/>
        <w:tabs>
          <w:tab w:leader="none" w:pos="471"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62" w:lineRule="exact"/>
        <w:rPr>
          <w:rFonts w:ascii="Arial" w:cs="Arial" w:eastAsia="Arial" w:hAnsi="Arial"/>
          <w:sz w:val="18"/>
          <w:szCs w:val="18"/>
          <w:b w:val="1"/>
          <w:bCs w:val="1"/>
          <w:color w:val="auto"/>
        </w:rPr>
      </w:pPr>
    </w:p>
    <w:p>
      <w:pPr>
        <w:ind w:left="460" w:hanging="236"/>
        <w:spacing w:after="0"/>
        <w:tabs>
          <w:tab w:leader="none" w:pos="460"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sz w:val="20"/>
          <w:szCs w:val="20"/>
          <w:color w:val="auto"/>
        </w:rPr>
      </w:pPr>
    </w:p>
    <w:p>
      <w:pPr>
        <w:ind w:left="-240" w:right="20" w:firstLine="464"/>
        <w:spacing w:after="0" w:line="342" w:lineRule="auto"/>
        <w:tabs>
          <w:tab w:leader="none" w:pos="561" w:val="left"/>
        </w:tabs>
        <w:numPr>
          <w:ilvl w:val="0"/>
          <w:numId w:val="3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80" w:top="273" w:right="459" w:bottom="1440" w:gutter="0" w:footer="0" w:header="0"/>
        </w:sectPr>
      </w:pPr>
    </w:p>
    <w:bookmarkStart w:id="361" w:name="page362"/>
    <w:bookmarkEnd w:id="361"/>
    <w:p>
      <w:pPr>
        <w:ind w:firstLine="8"/>
        <w:spacing w:after="0" w:line="282" w:lineRule="auto"/>
        <w:tabs>
          <w:tab w:leader="none" w:pos="255"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(EQUITY) AGREEMENT</w:t>
      </w:r>
    </w:p>
    <w:p>
      <w:pPr>
        <w:spacing w:after="0" w:line="229"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This Agreement between THE BOARD OF TRUSTEES OF THE LELAND STANFORD JUNIOR UNIVERSITY (“Stanford”), an institution of higher education having powers under the laws of the State of California, and Forty Seven, Inc. (“Forty Seven”), a corporation having a principal place of business at 353 Lowell Avenue, Palo Alto, California 94301, is effective on the 19th day of November, 2015 (“Effective Date”).</w:t>
      </w:r>
    </w:p>
    <w:p>
      <w:pPr>
        <w:spacing w:after="0" w:line="310" w:lineRule="exact"/>
        <w:rPr>
          <w:sz w:val="20"/>
          <w:szCs w:val="20"/>
          <w:color w:val="auto"/>
        </w:rPr>
      </w:pPr>
    </w:p>
    <w:p>
      <w:pPr>
        <w:ind w:left="460" w:hanging="452"/>
        <w:spacing w:after="0"/>
        <w:tabs>
          <w:tab w:leader="none" w:pos="46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Stanford has an assignment of one or more inventions that are useful in for the treatment and diagnosis of cancer and other diseases and immunological disorders. Certain invention(s) were made in the course of research supported by grants from the California Institute for Regenerative Medicine (“CIRM”), The National Institutes of Health (“NIH”), the Leukemia and Lymphoma Society (“LLS”), and The New York Stem Cell Foundation (“NYSCF”), and under a gift from the Trustees of the Virginia and D.K. Ludwig Fund for Cancer Research (“Ludwig”). In addition, certain inventions were, in part, invented in the lab of Dr. Christopher Garcia, a Howard Hughes Medical Institute (“HHMI”) investigator and therefore were supported by HHMI. Stanford previously licensed nonexclusively, inventions defined below as Limited Exclusive Patents to a third party. In addition, [*] was previously licensed nonexclusively [*] to another third party. Stanford wants to have the inventions perfected and marketed as soon as possible so that resulting products may be available for public use and benefit.</w:t>
      </w:r>
    </w:p>
    <w:p>
      <w:pPr>
        <w:spacing w:after="0" w:line="337" w:lineRule="exact"/>
        <w:rPr>
          <w:sz w:val="20"/>
          <w:szCs w:val="20"/>
          <w:color w:val="auto"/>
        </w:rPr>
      </w:pPr>
    </w:p>
    <w:p>
      <w:pPr>
        <w:ind w:left="460" w:hanging="452"/>
        <w:spacing w:after="0"/>
        <w:tabs>
          <w:tab w:leader="none" w:pos="46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ind w:left="460" w:right="80" w:hanging="445"/>
        <w:spacing w:after="0" w:line="264" w:lineRule="auto"/>
        <w:tabs>
          <w:tab w:leader="none" w:pos="440" w:val="left"/>
        </w:tabs>
        <w:rPr>
          <w:sz w:val="20"/>
          <w:szCs w:val="20"/>
          <w:color w:val="auto"/>
        </w:rPr>
      </w:pPr>
      <w:r>
        <w:rPr>
          <w:rFonts w:ascii="Arial" w:cs="Arial" w:eastAsia="Arial" w:hAnsi="Arial"/>
          <w:sz w:val="18"/>
          <w:szCs w:val="18"/>
          <w:color w:val="auto"/>
        </w:rPr>
        <w:t>2.1</w:t>
        <w:tab/>
        <w:t>“Affiliates” means any person, corporation, or other business entity which controls, is controlled by, or is under common control with Forty Seven; and for this purpose, “control” of a corporation means the direct or indirect ownership of 50% or more of its voting stock, and “control” of any other business entity means the direct or indirect ownership of 50% or more interest in the income of such entity.</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 Product” means Licensed Product that [*].</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 Product” means a Licensed Product that [*].</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 Product” means a Licensed Product that [*].</w:t>
      </w:r>
    </w:p>
    <w:p>
      <w:pPr>
        <w:spacing w:after="0" w:line="131" w:lineRule="exact"/>
        <w:rPr>
          <w:sz w:val="20"/>
          <w:szCs w:val="20"/>
          <w:color w:val="auto"/>
        </w:rPr>
      </w:pPr>
    </w:p>
    <w:p>
      <w:pPr>
        <w:ind w:left="460" w:right="260" w:hanging="445"/>
        <w:spacing w:after="0" w:line="277" w:lineRule="auto"/>
        <w:tabs>
          <w:tab w:leader="none" w:pos="440" w:val="left"/>
        </w:tabs>
        <w:rPr>
          <w:sz w:val="20"/>
          <w:szCs w:val="20"/>
          <w:color w:val="auto"/>
        </w:rPr>
      </w:pPr>
      <w:r>
        <w:rPr>
          <w:rFonts w:ascii="Arial" w:cs="Arial" w:eastAsia="Arial" w:hAnsi="Arial"/>
          <w:sz w:val="18"/>
          <w:szCs w:val="18"/>
          <w:color w:val="auto"/>
        </w:rPr>
        <w:t>2.5</w:t>
        <w:tab/>
        <w:t>“Change of Control” means the following, as applied only to the entirety of that part of Forty Seven’s business that exercises all of the rights granted under this Agreement:</w:t>
      </w:r>
    </w:p>
    <w:p>
      <w:pPr>
        <w:spacing w:after="0" w:line="76" w:lineRule="exact"/>
        <w:rPr>
          <w:sz w:val="20"/>
          <w:szCs w:val="20"/>
          <w:color w:val="auto"/>
        </w:rPr>
      </w:pPr>
    </w:p>
    <w:p>
      <w:pPr>
        <w:jc w:val="both"/>
        <w:ind w:left="900" w:right="80" w:hanging="446"/>
        <w:spacing w:after="0" w:line="259" w:lineRule="auto"/>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acquisition of ownership—directly or indirectly, beneficially or of record—by any non-Affiliate third person or group (within the meaning of the Exchange Act and the rules of the SEC or equivalent body under a different jurisdiction) of the capital stock of Forty Seven representing 50% or more of either the aggregate ordinary voting power or the aggregate equity value represented by the issued and outstanding capital stock of Forty Seven; and/or</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sale of all or substantially all Forty Seven’s assets and/or business in one transaction or in a series of related transactions to a non-Affiliate third party;</w:t>
      </w:r>
    </w:p>
    <w:p>
      <w:pPr>
        <w:spacing w:after="0" w:line="62"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sale of equity or other securities for the primary purpose of financing Forty Seven be a Change of Control.</w:t>
      </w:r>
    </w:p>
    <w:p>
      <w:pPr>
        <w:sectPr>
          <w:pgSz w:w="11900" w:h="16838" w:orient="portrait"/>
          <w:cols w:equalWidth="0" w:num="1">
            <w:col w:w="11420"/>
          </w:cols>
          <w:pgMar w:left="240" w:top="121" w:right="239" w:bottom="1440" w:gutter="0" w:footer="0" w:header="0"/>
        </w:sectPr>
      </w:pPr>
    </w:p>
    <w:bookmarkStart w:id="362" w:name="page363"/>
    <w:bookmarkEnd w:id="362"/>
    <w:p>
      <w:pPr>
        <w:ind w:left="460" w:right="300" w:hanging="445"/>
        <w:spacing w:after="0" w:line="277"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w:t>
        <w:tab/>
        <w:t>“Covered Product” means any product or part of a product, the manufacture, use, sale or importation of which would, but for the license granted by Stanford in the license agreement, infringe, induce infringement or contribute to infringement of a Valid Claim.</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 Product” means a Licensed Product that [*].</w:t>
      </w:r>
    </w:p>
    <w:p>
      <w:pPr>
        <w:spacing w:after="0" w:line="131" w:lineRule="exact"/>
        <w:rPr>
          <w:sz w:val="20"/>
          <w:szCs w:val="20"/>
          <w:color w:val="auto"/>
        </w:rPr>
      </w:pPr>
    </w:p>
    <w:p>
      <w:pPr>
        <w:ind w:left="460" w:hanging="445"/>
        <w:spacing w:after="0" w:line="277" w:lineRule="auto"/>
        <w:tabs>
          <w:tab w:leader="none" w:pos="440" w:val="left"/>
        </w:tabs>
        <w:rPr>
          <w:sz w:val="20"/>
          <w:szCs w:val="20"/>
          <w:color w:val="auto"/>
        </w:rPr>
      </w:pPr>
      <w:r>
        <w:rPr>
          <w:rFonts w:ascii="Arial" w:cs="Arial" w:eastAsia="Arial" w:hAnsi="Arial"/>
          <w:sz w:val="18"/>
          <w:szCs w:val="18"/>
          <w:color w:val="auto"/>
        </w:rPr>
        <w:t>2.8</w:t>
        <w:tab/>
        <w:t>“Exclusive” means that, subject to Section 3.3 and Article 5, Stanford will not grant further licenses or covenants not to sue under the Licensed Patents, and Licensed Information, in the Licensed Field of Use in the Licensed Territory.</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“Exclusive Field of Use” means all fields of use.</w:t>
      </w:r>
    </w:p>
    <w:p>
      <w:pPr>
        <w:spacing w:after="0" w:line="131" w:lineRule="exact"/>
        <w:rPr>
          <w:sz w:val="20"/>
          <w:szCs w:val="20"/>
          <w:color w:val="auto"/>
        </w:rPr>
      </w:pPr>
    </w:p>
    <w:p>
      <w:pPr>
        <w:ind w:left="460" w:right="160" w:hanging="445"/>
        <w:spacing w:after="0" w:line="264" w:lineRule="auto"/>
        <w:rPr>
          <w:sz w:val="20"/>
          <w:szCs w:val="20"/>
          <w:color w:val="auto"/>
        </w:rPr>
      </w:pPr>
      <w:r>
        <w:rPr>
          <w:rFonts w:ascii="Arial" w:cs="Arial" w:eastAsia="Arial" w:hAnsi="Arial"/>
          <w:sz w:val="18"/>
          <w:szCs w:val="18"/>
          <w:color w:val="auto"/>
        </w:rPr>
        <w:t>2.10 “Exclusive Patents” means the patents and patent applications listed in Appendix D, any foreign patent application corresponding thereto, and any divisional, continuation, or reexamination application, extension, and each patent that claims priority to, or issues or reissues from any of these patent applications, and any extensions or renewals of any such patents.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2.11  “EMA” shall mean the European Medicines Agency.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2.12  “FDA” shall mean the United States Food and Drug Administration.</w:t>
      </w:r>
    </w:p>
    <w:p>
      <w:pPr>
        <w:spacing w:after="0" w:line="131" w:lineRule="exact"/>
        <w:rPr>
          <w:sz w:val="20"/>
          <w:szCs w:val="20"/>
          <w:color w:val="auto"/>
        </w:rPr>
      </w:pPr>
    </w:p>
    <w:p>
      <w:pPr>
        <w:ind w:left="460" w:right="100" w:hanging="445"/>
        <w:spacing w:after="0" w:line="308" w:lineRule="auto"/>
        <w:rPr>
          <w:sz w:val="20"/>
          <w:szCs w:val="20"/>
          <w:color w:val="auto"/>
        </w:rPr>
      </w:pPr>
      <w:r>
        <w:rPr>
          <w:rFonts w:ascii="Arial" w:cs="Arial" w:eastAsia="Arial" w:hAnsi="Arial"/>
          <w:sz w:val="17"/>
          <w:szCs w:val="17"/>
          <w:color w:val="auto"/>
        </w:rPr>
        <w:t>2.13 “Forty Seven Patent Matters” means preparing, filing, and prosecuting broad and extensive patent claims (including any interference or reexamination actions) in Stanford’s name in the Licensed Territory and maintaining all Exclusive Patents and the Limited Exclusive Patents.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2.14  “Fully Diluted Basis” means the total number of shares of Forty Seven’s issued and outstanding common stock, assuming:</w:t>
      </w:r>
    </w:p>
    <w:p>
      <w:pPr>
        <w:spacing w:after="0" w:line="131" w:lineRule="exact"/>
        <w:rPr>
          <w:sz w:val="20"/>
          <w:szCs w:val="20"/>
          <w:color w:val="auto"/>
        </w:rPr>
      </w:pPr>
    </w:p>
    <w:p>
      <w:pPr>
        <w:ind w:left="900" w:hanging="446"/>
        <w:spacing w:after="0"/>
        <w:tabs>
          <w:tab w:leader="none" w:pos="9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conversion of all issued and outstanding securities convertible into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exercise of all issued and outstanding warrants or options, regardless of whether then exercisable; and</w:t>
      </w:r>
    </w:p>
    <w:p>
      <w:pPr>
        <w:spacing w:after="0" w:line="130" w:lineRule="exact"/>
        <w:rPr>
          <w:rFonts w:ascii="Arial" w:cs="Arial" w:eastAsia="Arial" w:hAnsi="Arial"/>
          <w:sz w:val="18"/>
          <w:szCs w:val="18"/>
          <w:color w:val="auto"/>
        </w:rPr>
      </w:pPr>
    </w:p>
    <w:p>
      <w:pPr>
        <w:ind w:right="440" w:firstLine="454"/>
        <w:spacing w:after="0" w:line="391" w:lineRule="auto"/>
        <w:tabs>
          <w:tab w:leader="none" w:pos="89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issuance, grant, and exercise of all securities reserved for issuance pursuant to any Forty Seven stock or stock option plan then in effect. 2.15 “HHMI Indemnitees” means HHMI and its trustees, officers, employees, and agents.</w:t>
      </w:r>
    </w:p>
    <w:p>
      <w:pPr>
        <w:spacing w:after="0"/>
        <w:rPr>
          <w:rFonts w:ascii="Arial" w:cs="Arial" w:eastAsia="Arial" w:hAnsi="Arial"/>
          <w:sz w:val="18"/>
          <w:szCs w:val="18"/>
          <w:color w:val="auto"/>
        </w:rPr>
      </w:pPr>
      <w:r>
        <w:rPr>
          <w:rFonts w:ascii="Arial" w:cs="Arial" w:eastAsia="Arial" w:hAnsi="Arial"/>
          <w:sz w:val="18"/>
          <w:szCs w:val="18"/>
          <w:color w:val="auto"/>
        </w:rPr>
        <w:t>2.16  “Hu5F9” means the antibody defined by the antibody sequence set forth in the Appendix H.</w:t>
      </w:r>
    </w:p>
    <w:p>
      <w:pPr>
        <w:spacing w:after="0" w:line="131" w:lineRule="exact"/>
        <w:rPr>
          <w:sz w:val="20"/>
          <w:szCs w:val="20"/>
          <w:color w:val="auto"/>
        </w:rPr>
      </w:pPr>
    </w:p>
    <w:p>
      <w:pPr>
        <w:ind w:left="460" w:right="360" w:hanging="445"/>
        <w:spacing w:after="0" w:line="277" w:lineRule="auto"/>
        <w:rPr>
          <w:sz w:val="20"/>
          <w:szCs w:val="20"/>
          <w:color w:val="auto"/>
        </w:rPr>
      </w:pPr>
      <w:r>
        <w:rPr>
          <w:rFonts w:ascii="Arial" w:cs="Arial" w:eastAsia="Arial" w:hAnsi="Arial"/>
          <w:sz w:val="18"/>
          <w:szCs w:val="18"/>
          <w:color w:val="auto"/>
        </w:rPr>
        <w:t>2.17 “Hu5F9 Licensed Product” means a Licensed Product that is the anti-CD47 antibody designated Hu5F9 and described in the Licensed Information submitted to the FDA.</w:t>
      </w:r>
    </w:p>
    <w:p>
      <w:pPr>
        <w:spacing w:after="0" w:line="76" w:lineRule="exact"/>
        <w:rPr>
          <w:sz w:val="20"/>
          <w:szCs w:val="20"/>
          <w:color w:val="auto"/>
        </w:rPr>
      </w:pPr>
    </w:p>
    <w:p>
      <w:pPr>
        <w:ind w:left="460" w:right="340" w:hanging="445"/>
        <w:spacing w:after="0" w:line="264" w:lineRule="auto"/>
        <w:rPr>
          <w:sz w:val="20"/>
          <w:szCs w:val="20"/>
          <w:color w:val="auto"/>
        </w:rPr>
      </w:pPr>
      <w:r>
        <w:rPr>
          <w:rFonts w:ascii="Arial" w:cs="Arial" w:eastAsia="Arial" w:hAnsi="Arial"/>
          <w:sz w:val="18"/>
          <w:szCs w:val="18"/>
          <w:color w:val="auto"/>
        </w:rPr>
        <w:t>2.18 “Information Product” means any product which (i) is not a Covered Product, but which incorporated into the BLA with FDA, or equivalent filing, directly or by reference, any Licensed Information, and (ii) is a product for which Forty Seven has data and/or market exclusivity based on such Licensed Information, and against which a biosimilar or biogeneric would have to certify.</w:t>
      </w:r>
    </w:p>
    <w:p>
      <w:pPr>
        <w:spacing w:after="0" w:line="87" w:lineRule="exact"/>
        <w:rPr>
          <w:sz w:val="20"/>
          <w:szCs w:val="20"/>
          <w:color w:val="auto"/>
        </w:rPr>
      </w:pPr>
    </w:p>
    <w:p>
      <w:pPr>
        <w:ind w:left="460" w:hanging="445"/>
        <w:spacing w:after="0" w:line="264" w:lineRule="auto"/>
        <w:rPr>
          <w:sz w:val="20"/>
          <w:szCs w:val="20"/>
          <w:color w:val="auto"/>
        </w:rPr>
      </w:pPr>
      <w:r>
        <w:rPr>
          <w:rFonts w:ascii="Arial" w:cs="Arial" w:eastAsia="Arial" w:hAnsi="Arial"/>
          <w:sz w:val="18"/>
          <w:szCs w:val="18"/>
          <w:color w:val="auto"/>
        </w:rPr>
        <w:t>2.19 “Licensed Field of Use” means (i) with respect to the Exclusive Licensed Patents, the Exclusive Field of Use, (ii) with respect to the SIRPα Component Patents, the field of use outside the SIRPα Component Field of Use, and (iii) with respect to the Limited Exclusive Patents, the Licensed Technology and the Licensed Information, all fields of use.</w:t>
      </w:r>
    </w:p>
    <w:p>
      <w:pPr>
        <w:spacing w:after="0" w:line="114" w:lineRule="exact"/>
        <w:rPr>
          <w:sz w:val="20"/>
          <w:szCs w:val="20"/>
          <w:color w:val="auto"/>
        </w:rPr>
      </w:pPr>
    </w:p>
    <w:p>
      <w:pPr>
        <w:ind w:left="460" w:right="500" w:hanging="452"/>
        <w:spacing w:after="0" w:line="277" w:lineRule="auto"/>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80"/>
          </w:cols>
          <w:pgMar w:left="240" w:top="274" w:right="279" w:bottom="1440" w:gutter="0" w:footer="0" w:header="0"/>
        </w:sectPr>
      </w:pPr>
    </w:p>
    <w:bookmarkStart w:id="363" w:name="page364"/>
    <w:bookmarkEnd w:id="363"/>
    <w:p>
      <w:pPr>
        <w:jc w:val="both"/>
        <w:ind w:left="460" w:right="120" w:hanging="445"/>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2.20 “Licensed Information” means technical and clinical information and data, including human trial results, associated with a Licensed Patent as set forth in Appendix E. Licensed Information does not include any information or data [*].</w:t>
      </w:r>
    </w:p>
    <w:p>
      <w:pPr>
        <w:spacing w:after="0" w:line="76" w:lineRule="exact"/>
        <w:rPr>
          <w:sz w:val="20"/>
          <w:szCs w:val="20"/>
          <w:color w:val="auto"/>
        </w:rPr>
      </w:pPr>
    </w:p>
    <w:p>
      <w:pPr>
        <w:jc w:val="both"/>
        <w:ind w:left="460" w:right="140" w:hanging="445"/>
        <w:spacing w:after="0" w:line="264" w:lineRule="auto"/>
        <w:rPr>
          <w:sz w:val="20"/>
          <w:szCs w:val="20"/>
          <w:color w:val="auto"/>
        </w:rPr>
      </w:pPr>
      <w:r>
        <w:rPr>
          <w:rFonts w:ascii="Arial" w:cs="Arial" w:eastAsia="Arial" w:hAnsi="Arial"/>
          <w:sz w:val="18"/>
          <w:szCs w:val="18"/>
          <w:color w:val="auto"/>
        </w:rPr>
        <w:t>2.21 “Licensed Patent(s)” means Exclusive Patents, SIRPα Component Patents, and Limited Exclusive Patents. Any claim of an unexpired Licensed Patent is presumed to be valid unless it has been held to be invalid by a final judgment of a court of competent jurisdiction from which no appeal can be or is taken. “Licensed Patent” excludes [*], provided that [*] without mutual agreement of the Parties.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2.22  “Licensed Product” means Covered Product and Information Product.</w:t>
      </w:r>
    </w:p>
    <w:p>
      <w:pPr>
        <w:spacing w:after="0" w:line="131"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color w:val="auto"/>
        </w:rPr>
        <w:t>2.23  “Licensed Technology” means the materials associated with a Licensed Patent that are available and that the inventors are willing to supply, as set forth in Appendix F, which may or may not be confidential and is not subject to paragraph 19.1 of this Agreement. Licensed Technology does not include [*].</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2.24  “Licensed Territory” means worldwide.</w:t>
      </w:r>
    </w:p>
    <w:p>
      <w:pPr>
        <w:spacing w:after="0" w:line="131" w:lineRule="exact"/>
        <w:rPr>
          <w:sz w:val="20"/>
          <w:szCs w:val="20"/>
          <w:color w:val="auto"/>
        </w:rPr>
      </w:pPr>
    </w:p>
    <w:p>
      <w:pPr>
        <w:ind w:left="460" w:right="40" w:hanging="445"/>
        <w:spacing w:after="0" w:line="259" w:lineRule="auto"/>
        <w:rPr>
          <w:sz w:val="20"/>
          <w:szCs w:val="20"/>
          <w:color w:val="auto"/>
        </w:rPr>
      </w:pPr>
      <w:r>
        <w:rPr>
          <w:rFonts w:ascii="Arial" w:cs="Arial" w:eastAsia="Arial" w:hAnsi="Arial"/>
          <w:sz w:val="18"/>
          <w:szCs w:val="18"/>
          <w:color w:val="auto"/>
        </w:rPr>
        <w:t>2.25 “Limited Exclusive Patents” means Stanford’s U.S. Patent Application Serial Nos. [*], the U.S. patent application to be filed with respect to provisional patent [*], and U.S. Patent Application Serial Nos. [*]; any foreign patent application corresponding thereto, and any divisional, continuation, or reexamination application, extension, and each patent that claims priority to, or issues or reissues from any of these patent applications, and any extensions or renewals of any such patents.</w:t>
      </w:r>
    </w:p>
    <w:p>
      <w:pPr>
        <w:spacing w:after="0" w:line="92" w:lineRule="exact"/>
        <w:rPr>
          <w:sz w:val="20"/>
          <w:szCs w:val="20"/>
          <w:color w:val="auto"/>
        </w:rPr>
      </w:pPr>
    </w:p>
    <w:p>
      <w:pPr>
        <w:ind w:left="460" w:right="40" w:hanging="445"/>
        <w:spacing w:after="0" w:line="264" w:lineRule="auto"/>
        <w:rPr>
          <w:sz w:val="20"/>
          <w:szCs w:val="20"/>
          <w:color w:val="auto"/>
        </w:rPr>
      </w:pPr>
      <w:r>
        <w:rPr>
          <w:rFonts w:ascii="Arial" w:cs="Arial" w:eastAsia="Arial" w:hAnsi="Arial"/>
          <w:sz w:val="18"/>
          <w:szCs w:val="18"/>
          <w:color w:val="auto"/>
        </w:rPr>
        <w:t>2.26 “Net Sales” means all gross revenue received by Forty Seven, its Affiliates, or sublicensees, from the sale, transfer or other disposition of Licensed Product to an end user. Net Sales excludes the following items (but only as they pertain to the making, using, importing or selling of Licensed Products, are included in gross revenue, and are separately accounted for):</w:t>
      </w:r>
    </w:p>
    <w:p>
      <w:pPr>
        <w:spacing w:after="0" w:line="87" w:lineRule="exact"/>
        <w:rPr>
          <w:sz w:val="20"/>
          <w:szCs w:val="20"/>
          <w:color w:val="auto"/>
        </w:rPr>
      </w:pPr>
    </w:p>
    <w:p>
      <w:pPr>
        <w:ind w:left="900" w:hanging="446"/>
        <w:spacing w:after="0"/>
        <w:tabs>
          <w:tab w:leader="none" w:pos="9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import, export, excise, value-added, and sales taxes, and custom duties;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costs of insurance, packing, and transportation from the place of manufacture to the customer’s premises or point of installation;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costs of installation at the place of use;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credit for returns, allowances, trades, discounts, rebates and chargebacks.</w:t>
      </w:r>
    </w:p>
    <w:p>
      <w:pPr>
        <w:spacing w:after="0" w:line="131" w:lineRule="exact"/>
        <w:rPr>
          <w:sz w:val="20"/>
          <w:szCs w:val="20"/>
          <w:color w:val="auto"/>
        </w:rPr>
      </w:pPr>
    </w:p>
    <w:p>
      <w:pPr>
        <w:ind w:left="460" w:right="360" w:hanging="445"/>
        <w:spacing w:after="0" w:line="277" w:lineRule="auto"/>
        <w:rPr>
          <w:sz w:val="20"/>
          <w:szCs w:val="20"/>
          <w:color w:val="auto"/>
        </w:rPr>
      </w:pPr>
      <w:r>
        <w:rPr>
          <w:rFonts w:ascii="Arial" w:cs="Arial" w:eastAsia="Arial" w:hAnsi="Arial"/>
          <w:sz w:val="18"/>
          <w:szCs w:val="18"/>
          <w:color w:val="auto"/>
        </w:rPr>
        <w:t>2.27 “Nonroyalty Sublicensing Consideration” means any consideration attributable to a Sublicense under the Licensed Patents received by Forty Seven from a sublicensee hereunder, but excluding any consideration for:</w:t>
      </w:r>
    </w:p>
    <w:p>
      <w:pPr>
        <w:spacing w:after="0" w:line="76" w:lineRule="exact"/>
        <w:rPr>
          <w:sz w:val="20"/>
          <w:szCs w:val="20"/>
          <w:color w:val="auto"/>
        </w:rPr>
      </w:pPr>
    </w:p>
    <w:p>
      <w:pPr>
        <w:ind w:left="900" w:right="60" w:hanging="446"/>
        <w:spacing w:after="0" w:line="277" w:lineRule="auto"/>
        <w:tabs>
          <w:tab w:leader="none" w:pos="9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Sublicensees’ product sales (royalties on product sales by sublicensees will be treated as if Forty Seven made the sale of such product; for clarity, no double payments will be made on such product sales);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investments in Forty Seven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research and development expenses calculated on a fully burdened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debt;</w:t>
      </w:r>
    </w:p>
    <w:p>
      <w:pPr>
        <w:spacing w:after="0" w:line="157" w:lineRule="exact"/>
        <w:rPr>
          <w:rFonts w:ascii="Arial" w:cs="Arial" w:eastAsia="Arial" w:hAnsi="Arial"/>
          <w:sz w:val="18"/>
          <w:szCs w:val="18"/>
          <w:color w:val="auto"/>
        </w:rPr>
      </w:pPr>
    </w:p>
    <w:p>
      <w:pPr>
        <w:ind w:left="460" w:right="540" w:hanging="452"/>
        <w:spacing w:after="0" w:line="277" w:lineRule="auto"/>
        <w:tabs>
          <w:tab w:leader="none" w:pos="4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274" w:right="239" w:bottom="1440" w:gutter="0" w:footer="0" w:header="0"/>
        </w:sectPr>
      </w:pPr>
    </w:p>
    <w:bookmarkStart w:id="364" w:name="page365"/>
    <w:bookmarkEnd w:id="364"/>
    <w:p>
      <w:pPr>
        <w:ind w:left="900" w:hanging="446"/>
        <w:spacing w:after="0"/>
        <w:tabs>
          <w:tab w:leader="none" w:pos="9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reimbursement of out-of-pocket patent prosecution and maintenance expenses for Forty Seven Patent Matters; 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sale of substantially all of the business or assets of Forty Seven (or its assignee), whether by merger, sale of stock or assets, or otherwise.</w:t>
      </w:r>
    </w:p>
    <w:p>
      <w:pPr>
        <w:spacing w:after="0" w:line="154" w:lineRule="exact"/>
        <w:rPr>
          <w:sz w:val="20"/>
          <w:szCs w:val="20"/>
          <w:color w:val="auto"/>
        </w:rPr>
      </w:pPr>
    </w:p>
    <w:p>
      <w:pPr>
        <w:ind w:left="460" w:right="100" w:hanging="445"/>
        <w:spacing w:after="0" w:line="277" w:lineRule="auto"/>
        <w:rPr>
          <w:sz w:val="20"/>
          <w:szCs w:val="20"/>
          <w:color w:val="auto"/>
        </w:rPr>
      </w:pPr>
      <w:r>
        <w:rPr>
          <w:rFonts w:ascii="Arial" w:cs="Arial" w:eastAsia="Arial" w:hAnsi="Arial"/>
          <w:sz w:val="18"/>
          <w:szCs w:val="18"/>
          <w:color w:val="auto"/>
        </w:rPr>
        <w:t>2.28 “Other Licensed Product” means a Licensed Product that is not [*] Licensed Product; for clarity, such Licensed Product may include [*] product other than [*].</w:t>
      </w:r>
    </w:p>
    <w:p>
      <w:pPr>
        <w:spacing w:after="0" w:line="76" w:lineRule="exact"/>
        <w:rPr>
          <w:sz w:val="20"/>
          <w:szCs w:val="20"/>
          <w:color w:val="auto"/>
        </w:rPr>
      </w:pPr>
    </w:p>
    <w:p>
      <w:pPr>
        <w:ind w:left="460" w:hanging="445"/>
        <w:spacing w:after="0" w:line="277" w:lineRule="auto"/>
        <w:rPr>
          <w:sz w:val="20"/>
          <w:szCs w:val="20"/>
          <w:color w:val="auto"/>
        </w:rPr>
      </w:pPr>
      <w:r>
        <w:rPr>
          <w:rFonts w:ascii="Arial" w:cs="Arial" w:eastAsia="Arial" w:hAnsi="Arial"/>
          <w:sz w:val="18"/>
          <w:szCs w:val="18"/>
          <w:color w:val="auto"/>
        </w:rPr>
        <w:t>2.29 “Regulatory Approval” means approval by the FDA, EMA, or equivalent agency or government body of another country permitting commercial sale of a Licensed Product in a particular country.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2.30  “SIRPα Component Field of Use” means the following:</w:t>
      </w:r>
    </w:p>
    <w:p>
      <w:pPr>
        <w:spacing w:after="0" w:line="131" w:lineRule="exact"/>
        <w:rPr>
          <w:sz w:val="20"/>
          <w:szCs w:val="20"/>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 SIRPα Component for use (a) [*] or (b) [*].</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The SIRPα Component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SIRPα Component [*].</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containing SIRPα or [*] to be used solely for the purposes of [*].</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means [*].</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“SIRPα Component” means [*]</w:t>
      </w:r>
    </w:p>
    <w:p>
      <w:pPr>
        <w:spacing w:after="0" w:line="131" w:lineRule="exact"/>
        <w:rPr>
          <w:sz w:val="20"/>
          <w:szCs w:val="20"/>
          <w:color w:val="auto"/>
        </w:rPr>
      </w:pPr>
    </w:p>
    <w:p>
      <w:pPr>
        <w:ind w:left="460" w:right="180" w:hanging="445"/>
        <w:spacing w:after="0" w:line="264" w:lineRule="auto"/>
        <w:rPr>
          <w:sz w:val="20"/>
          <w:szCs w:val="20"/>
          <w:color w:val="auto"/>
        </w:rPr>
      </w:pPr>
      <w:r>
        <w:rPr>
          <w:rFonts w:ascii="Arial" w:cs="Arial" w:eastAsia="Arial" w:hAnsi="Arial"/>
          <w:sz w:val="18"/>
          <w:szCs w:val="18"/>
          <w:color w:val="auto"/>
        </w:rPr>
        <w:t>2.31 “SIRPα Component Patents” means Stanford’s U.S. Patent Application, Serial Number [*], any foreign patent application corresponding thereto, and any divisional, continuation, or reexamination application, extension, and each patent that claims priority to, or issues or reissues from any of these patent applications, and any extensions or renewals of any such patents.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2.32  “[*] Product” means a Licensed Product that [*].</w:t>
      </w:r>
    </w:p>
    <w:p>
      <w:pPr>
        <w:spacing w:after="0" w:line="131" w:lineRule="exact"/>
        <w:rPr>
          <w:sz w:val="20"/>
          <w:szCs w:val="20"/>
          <w:color w:val="auto"/>
        </w:rPr>
      </w:pPr>
    </w:p>
    <w:p>
      <w:pPr>
        <w:ind w:left="460" w:right="60" w:hanging="445"/>
        <w:spacing w:after="0" w:line="277" w:lineRule="auto"/>
        <w:rPr>
          <w:sz w:val="20"/>
          <w:szCs w:val="20"/>
          <w:color w:val="auto"/>
        </w:rPr>
      </w:pPr>
      <w:r>
        <w:rPr>
          <w:rFonts w:ascii="Arial" w:cs="Arial" w:eastAsia="Arial" w:hAnsi="Arial"/>
          <w:sz w:val="18"/>
          <w:szCs w:val="18"/>
          <w:color w:val="auto"/>
        </w:rPr>
        <w:t>2.33 “Stanford Indemnitees” means Stanford and Stanford Hospitals and Clinics, and their respective trustees, officers, employees, students, agents, faculty, representatives, and volunteers.</w:t>
      </w:r>
    </w:p>
    <w:p>
      <w:pPr>
        <w:spacing w:after="0" w:line="76" w:lineRule="exact"/>
        <w:rPr>
          <w:sz w:val="20"/>
          <w:szCs w:val="20"/>
          <w:color w:val="auto"/>
        </w:rPr>
      </w:pPr>
    </w:p>
    <w:p>
      <w:pPr>
        <w:ind w:left="460" w:right="440" w:hanging="445"/>
        <w:spacing w:after="0" w:line="264" w:lineRule="auto"/>
        <w:rPr>
          <w:sz w:val="20"/>
          <w:szCs w:val="20"/>
          <w:color w:val="auto"/>
        </w:rPr>
      </w:pPr>
      <w:r>
        <w:rPr>
          <w:rFonts w:ascii="Arial" w:cs="Arial" w:eastAsia="Arial" w:hAnsi="Arial"/>
          <w:sz w:val="18"/>
          <w:szCs w:val="18"/>
          <w:color w:val="auto"/>
        </w:rPr>
        <w:t>2.34 “Sublicense” means any agreement between Forty Seven and a third party other than Forty Seven’s Affiliates that contains a grant of rights to Stanford’s Licensed Patents, regardless of the name given to the agreement by the parties; however, an agreement to make, have made, use or sell Licensed Products on behalf of Forty Seven or its affiliate is not considered a Sublicense.</w:t>
      </w:r>
    </w:p>
    <w:p>
      <w:pPr>
        <w:spacing w:after="0" w:line="87" w:lineRule="exact"/>
        <w:rPr>
          <w:sz w:val="20"/>
          <w:szCs w:val="20"/>
          <w:color w:val="auto"/>
        </w:rPr>
      </w:pPr>
    </w:p>
    <w:p>
      <w:pPr>
        <w:ind w:left="460" w:right="40" w:hanging="445"/>
        <w:spacing w:after="0" w:line="257" w:lineRule="auto"/>
        <w:rPr>
          <w:sz w:val="20"/>
          <w:szCs w:val="20"/>
          <w:color w:val="auto"/>
        </w:rPr>
      </w:pPr>
      <w:r>
        <w:rPr>
          <w:rFonts w:ascii="Arial" w:cs="Arial" w:eastAsia="Arial" w:hAnsi="Arial"/>
          <w:sz w:val="18"/>
          <w:szCs w:val="18"/>
          <w:color w:val="auto"/>
        </w:rPr>
        <w:t xml:space="preserve">2.35 “Valid Claim” means (a) any claim of an issued and unexpired Licensed Patent which has not been held unenforceable or invalid by a court or other governmental agency of competent jurisdiction from which no appeal can be taken and which has not been disclaimed or admitted to be invalid or unenforceable through abandonment, reissue, disclaimer or otherwise, or (b) a pending claim in a pending Licensed Patent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pending claim does not issue as a valid and enforceable claim within [*] years from its earliest priority date, such pending claim will cease to be a Valid Claim unless and until actually issued.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2.36  Additional Definitions. Each of the following terms shall have the meaning described in the corresponding Section of this Agreement indicated below:</w:t>
      </w:r>
    </w:p>
    <w:p>
      <w:pPr>
        <w:spacing w:after="0" w:line="181" w:lineRule="exact"/>
        <w:rPr>
          <w:sz w:val="20"/>
          <w:szCs w:val="20"/>
          <w:color w:val="auto"/>
        </w:rPr>
      </w:pPr>
    </w:p>
    <w:p>
      <w:pPr>
        <w:ind w:left="460" w:right="500" w:hanging="452"/>
        <w:spacing w:after="0" w:line="277" w:lineRule="auto"/>
        <w:tabs>
          <w:tab w:leader="none" w:pos="4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80"/>
          </w:cols>
          <w:pgMar w:left="240" w:top="274" w:right="279"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171"/>
        </w:trPr>
        <w:tc>
          <w:tcPr>
            <w:tcW w:w="44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Section Defined</w:t>
            </w:r>
          </w:p>
        </w:tc>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8"/>
              </w:rPr>
              <w:t>Section Defined</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4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Adjustment Event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7.4(A)(1)</w:t>
            </w:r>
          </w:p>
        </w:tc>
        <w:tc>
          <w:tcPr>
            <w:tcW w:w="400" w:type="dxa"/>
            <w:vAlign w:val="bottom"/>
            <w:vMerge w:val="continue"/>
          </w:tcPr>
          <w:p>
            <w:pPr>
              <w:spacing w:after="0"/>
              <w:rPr>
                <w:sz w:val="16"/>
                <w:szCs w:val="16"/>
                <w:color w:val="auto"/>
              </w:rPr>
            </w:pPr>
          </w:p>
        </w:tc>
        <w:tc>
          <w:tcPr>
            <w:tcW w:w="340" w:type="dxa"/>
            <w:vAlign w:val="bottom"/>
          </w:tcPr>
          <w:p>
            <w:pPr>
              <w:spacing w:after="0" w:line="195" w:lineRule="exact"/>
              <w:rPr>
                <w:sz w:val="20"/>
                <w:szCs w:val="20"/>
                <w:color w:val="auto"/>
              </w:rPr>
            </w:pPr>
            <w:r>
              <w:rPr>
                <w:rFonts w:ascii="Arial" w:cs="Arial" w:eastAsia="Arial" w:hAnsi="Arial"/>
                <w:sz w:val="18"/>
                <w:szCs w:val="18"/>
                <w:color w:val="auto"/>
                <w:w w:val="99"/>
              </w:rPr>
              <w:t>LLS</w:t>
            </w:r>
          </w:p>
        </w:tc>
        <w:tc>
          <w:tcPr>
            <w:tcW w:w="4240" w:type="dxa"/>
            <w:vAlign w:val="bottom"/>
            <w:vMerge w:val="continue"/>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Board of Directors</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7.4(A)(2)</w:t>
            </w:r>
          </w:p>
        </w:tc>
        <w:tc>
          <w:tcPr>
            <w:tcW w:w="4580" w:type="dxa"/>
            <w:vAlign w:val="bottom"/>
            <w:gridSpan w:val="2"/>
          </w:tcPr>
          <w:p>
            <w:pPr>
              <w:spacing w:after="0"/>
              <w:rPr>
                <w:sz w:val="20"/>
                <w:szCs w:val="20"/>
                <w:color w:val="auto"/>
              </w:rPr>
            </w:pPr>
            <w:r>
              <w:rPr>
                <w:rFonts w:ascii="Arial" w:cs="Arial" w:eastAsia="Arial" w:hAnsi="Arial"/>
                <w:sz w:val="18"/>
                <w:szCs w:val="18"/>
                <w:color w:val="auto"/>
              </w:rPr>
              <w:t>Ludwig</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41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580" w:type="dxa"/>
            <w:vAlign w:val="bottom"/>
            <w:gridSpan w:val="2"/>
          </w:tcPr>
          <w:p>
            <w:pPr>
              <w:spacing w:after="0"/>
              <w:rPr>
                <w:sz w:val="20"/>
                <w:szCs w:val="20"/>
                <w:color w:val="auto"/>
              </w:rPr>
            </w:pPr>
            <w:r>
              <w:rPr>
                <w:rFonts w:ascii="Arial" w:cs="Arial" w:eastAsia="Arial" w:hAnsi="Arial"/>
                <w:sz w:val="18"/>
                <w:szCs w:val="18"/>
                <w:color w:val="auto"/>
              </w:rPr>
              <w:t>NIH</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41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580" w:type="dxa"/>
            <w:vAlign w:val="bottom"/>
            <w:gridSpan w:val="2"/>
          </w:tcPr>
          <w:p>
            <w:pPr>
              <w:spacing w:after="0"/>
              <w:rPr>
                <w:sz w:val="20"/>
                <w:szCs w:val="20"/>
                <w:color w:val="auto"/>
              </w:rPr>
            </w:pPr>
            <w:r>
              <w:rPr>
                <w:rFonts w:ascii="Arial" w:cs="Arial" w:eastAsia="Arial" w:hAnsi="Arial"/>
                <w:sz w:val="18"/>
                <w:szCs w:val="18"/>
                <w:color w:val="auto"/>
              </w:rPr>
              <w:t>Notice Period</w:t>
            </w:r>
          </w:p>
        </w:tc>
        <w:tc>
          <w:tcPr>
            <w:tcW w:w="960" w:type="dxa"/>
            <w:vAlign w:val="bottom"/>
          </w:tcPr>
          <w:p>
            <w:pPr>
              <w:jc w:val="right"/>
              <w:spacing w:after="0"/>
              <w:rPr>
                <w:sz w:val="20"/>
                <w:szCs w:val="20"/>
                <w:color w:val="auto"/>
              </w:rPr>
            </w:pPr>
            <w:r>
              <w:rPr>
                <w:rFonts w:ascii="Arial" w:cs="Arial" w:eastAsia="Arial" w:hAnsi="Arial"/>
                <w:sz w:val="18"/>
                <w:szCs w:val="18"/>
                <w:color w:val="auto"/>
              </w:rPr>
              <w:t>7.5(B)(3)</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CIRM</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4580" w:type="dxa"/>
            <w:vAlign w:val="bottom"/>
            <w:gridSpan w:val="2"/>
          </w:tcPr>
          <w:p>
            <w:pPr>
              <w:spacing w:after="0"/>
              <w:rPr>
                <w:sz w:val="20"/>
                <w:szCs w:val="20"/>
                <w:color w:val="auto"/>
              </w:rPr>
            </w:pPr>
            <w:r>
              <w:rPr>
                <w:rFonts w:ascii="Arial" w:cs="Arial" w:eastAsia="Arial" w:hAnsi="Arial"/>
                <w:sz w:val="18"/>
                <w:szCs w:val="18"/>
                <w:color w:val="auto"/>
              </w:rPr>
              <w:t>NYSCF</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Claims</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10.1(B)</w:t>
            </w:r>
          </w:p>
        </w:tc>
        <w:tc>
          <w:tcPr>
            <w:tcW w:w="4580" w:type="dxa"/>
            <w:vAlign w:val="bottom"/>
            <w:gridSpan w:val="2"/>
          </w:tcPr>
          <w:p>
            <w:pPr>
              <w:spacing w:after="0"/>
              <w:rPr>
                <w:sz w:val="20"/>
                <w:szCs w:val="20"/>
                <w:color w:val="auto"/>
              </w:rPr>
            </w:pPr>
            <w:r>
              <w:rPr>
                <w:rFonts w:ascii="Arial" w:cs="Arial" w:eastAsia="Arial" w:hAnsi="Arial"/>
                <w:sz w:val="18"/>
                <w:szCs w:val="18"/>
                <w:color w:val="auto"/>
              </w:rPr>
              <w:t>Purchase Right</w:t>
            </w:r>
          </w:p>
        </w:tc>
        <w:tc>
          <w:tcPr>
            <w:tcW w:w="960" w:type="dxa"/>
            <w:vAlign w:val="bottom"/>
          </w:tcPr>
          <w:p>
            <w:pPr>
              <w:jc w:val="right"/>
              <w:spacing w:after="0"/>
              <w:rPr>
                <w:sz w:val="20"/>
                <w:szCs w:val="20"/>
                <w:color w:val="auto"/>
              </w:rPr>
            </w:pPr>
            <w:r>
              <w:rPr>
                <w:rFonts w:ascii="Arial" w:cs="Arial" w:eastAsia="Arial" w:hAnsi="Arial"/>
                <w:sz w:val="18"/>
                <w:szCs w:val="18"/>
                <w:color w:val="auto"/>
              </w:rPr>
              <w:t>7.4(A)</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Deficient Product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6.4</w:t>
            </w:r>
          </w:p>
        </w:tc>
        <w:tc>
          <w:tcPr>
            <w:tcW w:w="4580" w:type="dxa"/>
            <w:vAlign w:val="bottom"/>
            <w:gridSpan w:val="2"/>
          </w:tcPr>
          <w:p>
            <w:pPr>
              <w:spacing w:after="0"/>
              <w:rPr>
                <w:sz w:val="20"/>
                <w:szCs w:val="20"/>
                <w:color w:val="auto"/>
              </w:rPr>
            </w:pPr>
            <w:r>
              <w:rPr>
                <w:rFonts w:ascii="Arial" w:cs="Arial" w:eastAsia="Arial" w:hAnsi="Arial"/>
                <w:sz w:val="18"/>
                <w:szCs w:val="18"/>
                <w:color w:val="auto"/>
              </w:rPr>
              <w:t>Qualifying Offering</w:t>
            </w:r>
          </w:p>
        </w:tc>
        <w:tc>
          <w:tcPr>
            <w:tcW w:w="960" w:type="dxa"/>
            <w:vAlign w:val="bottom"/>
          </w:tcPr>
          <w:p>
            <w:pPr>
              <w:jc w:val="right"/>
              <w:spacing w:after="0"/>
              <w:rPr>
                <w:sz w:val="20"/>
                <w:szCs w:val="20"/>
                <w:color w:val="auto"/>
              </w:rPr>
            </w:pPr>
            <w:r>
              <w:rPr>
                <w:rFonts w:ascii="Arial" w:cs="Arial" w:eastAsia="Arial" w:hAnsi="Arial"/>
                <w:sz w:val="18"/>
                <w:szCs w:val="18"/>
                <w:color w:val="auto"/>
              </w:rPr>
              <w:t>7.4(A)(3)</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Disputed Breach Arbitration</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17.1</w:t>
            </w:r>
          </w:p>
        </w:tc>
        <w:tc>
          <w:tcPr>
            <w:tcW w:w="4580" w:type="dxa"/>
            <w:vAlign w:val="bottom"/>
            <w:gridSpan w:val="2"/>
          </w:tcPr>
          <w:p>
            <w:pPr>
              <w:spacing w:after="0"/>
              <w:rPr>
                <w:sz w:val="20"/>
                <w:szCs w:val="20"/>
                <w:color w:val="auto"/>
              </w:rPr>
            </w:pPr>
            <w:r>
              <w:rPr>
                <w:rFonts w:ascii="Arial" w:cs="Arial" w:eastAsia="Arial" w:hAnsi="Arial"/>
                <w:sz w:val="18"/>
                <w:szCs w:val="18"/>
                <w:color w:val="auto"/>
              </w:rPr>
              <w:t>Rights Agreement</w:t>
            </w:r>
          </w:p>
        </w:tc>
        <w:tc>
          <w:tcPr>
            <w:tcW w:w="960" w:type="dxa"/>
            <w:vAlign w:val="bottom"/>
          </w:tcPr>
          <w:p>
            <w:pPr>
              <w:jc w:val="right"/>
              <w:spacing w:after="0"/>
              <w:rPr>
                <w:sz w:val="20"/>
                <w:szCs w:val="20"/>
                <w:color w:val="auto"/>
              </w:rPr>
            </w:pPr>
            <w:r>
              <w:rPr>
                <w:rFonts w:ascii="Arial" w:cs="Arial" w:eastAsia="Arial" w:hAnsi="Arial"/>
                <w:sz w:val="18"/>
                <w:szCs w:val="18"/>
                <w:color w:val="auto"/>
              </w:rPr>
              <w:t>7.4(B)(1)</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Effective Date</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Preamble</w:t>
            </w:r>
          </w:p>
        </w:tc>
        <w:tc>
          <w:tcPr>
            <w:tcW w:w="4580" w:type="dxa"/>
            <w:vAlign w:val="bottom"/>
            <w:gridSpan w:val="2"/>
          </w:tcPr>
          <w:p>
            <w:pPr>
              <w:spacing w:after="0"/>
              <w:rPr>
                <w:sz w:val="20"/>
                <w:szCs w:val="20"/>
                <w:color w:val="auto"/>
              </w:rPr>
            </w:pPr>
            <w:r>
              <w:rPr>
                <w:rFonts w:ascii="Arial" w:cs="Arial" w:eastAsia="Arial" w:hAnsi="Arial"/>
                <w:sz w:val="18"/>
                <w:szCs w:val="18"/>
                <w:color w:val="auto"/>
              </w:rPr>
              <w:t>Share</w:t>
            </w:r>
          </w:p>
        </w:tc>
        <w:tc>
          <w:tcPr>
            <w:tcW w:w="960" w:type="dxa"/>
            <w:vAlign w:val="bottom"/>
          </w:tcPr>
          <w:p>
            <w:pPr>
              <w:jc w:val="right"/>
              <w:spacing w:after="0"/>
              <w:rPr>
                <w:sz w:val="20"/>
                <w:szCs w:val="20"/>
                <w:color w:val="auto"/>
              </w:rPr>
            </w:pPr>
            <w:r>
              <w:rPr>
                <w:rFonts w:ascii="Arial" w:cs="Arial" w:eastAsia="Arial" w:hAnsi="Arial"/>
                <w:sz w:val="18"/>
                <w:szCs w:val="18"/>
                <w:color w:val="auto"/>
              </w:rPr>
              <w:t>7.4(A)(4)</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First Round</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4580" w:type="dxa"/>
            <w:vAlign w:val="bottom"/>
            <w:gridSpan w:val="2"/>
          </w:tcPr>
          <w:p>
            <w:pPr>
              <w:spacing w:after="0"/>
              <w:rPr>
                <w:sz w:val="20"/>
                <w:szCs w:val="20"/>
                <w:color w:val="auto"/>
              </w:rPr>
            </w:pPr>
            <w:r>
              <w:rPr>
                <w:rFonts w:ascii="Arial" w:cs="Arial" w:eastAsia="Arial" w:hAnsi="Arial"/>
                <w:sz w:val="18"/>
                <w:szCs w:val="18"/>
                <w:color w:val="auto"/>
              </w:rPr>
              <w:t>SIRPα Component Patent Matters</w:t>
            </w:r>
          </w:p>
        </w:tc>
        <w:tc>
          <w:tcPr>
            <w:tcW w:w="960" w:type="dxa"/>
            <w:vAlign w:val="bottom"/>
          </w:tcPr>
          <w:p>
            <w:pPr>
              <w:jc w:val="right"/>
              <w:spacing w:after="0"/>
              <w:rPr>
                <w:sz w:val="20"/>
                <w:szCs w:val="20"/>
                <w:color w:val="auto"/>
              </w:rPr>
            </w:pPr>
            <w:r>
              <w:rPr>
                <w:rFonts w:ascii="Arial" w:cs="Arial" w:eastAsia="Arial" w:hAnsi="Arial"/>
                <w:sz w:val="18"/>
                <w:szCs w:val="18"/>
                <w:color w:val="auto"/>
              </w:rPr>
              <w:t>14.1(D)</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Forty Seven</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Preamble</w:t>
            </w:r>
          </w:p>
        </w:tc>
        <w:tc>
          <w:tcPr>
            <w:tcW w:w="4580" w:type="dxa"/>
            <w:vAlign w:val="bottom"/>
            <w:gridSpan w:val="2"/>
          </w:tcPr>
          <w:p>
            <w:pPr>
              <w:spacing w:after="0"/>
              <w:rPr>
                <w:sz w:val="20"/>
                <w:szCs w:val="20"/>
                <w:color w:val="auto"/>
              </w:rPr>
            </w:pPr>
            <w:r>
              <w:rPr>
                <w:rFonts w:ascii="Arial" w:cs="Arial" w:eastAsia="Arial" w:hAnsi="Arial"/>
                <w:sz w:val="18"/>
                <w:szCs w:val="18"/>
                <w:color w:val="auto"/>
              </w:rPr>
              <w:t>Stanford</w:t>
            </w:r>
          </w:p>
        </w:tc>
        <w:tc>
          <w:tcPr>
            <w:tcW w:w="960" w:type="dxa"/>
            <w:vAlign w:val="bottom"/>
          </w:tcPr>
          <w:p>
            <w:pPr>
              <w:jc w:val="right"/>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Generic Competition</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7.10</w:t>
            </w:r>
          </w:p>
        </w:tc>
        <w:tc>
          <w:tcPr>
            <w:tcW w:w="4580" w:type="dxa"/>
            <w:vAlign w:val="bottom"/>
            <w:gridSpan w:val="2"/>
          </w:tcPr>
          <w:p>
            <w:pPr>
              <w:spacing w:after="0"/>
              <w:rPr>
                <w:sz w:val="20"/>
                <w:szCs w:val="20"/>
                <w:color w:val="auto"/>
              </w:rPr>
            </w:pPr>
            <w:r>
              <w:rPr>
                <w:rFonts w:ascii="Arial" w:cs="Arial" w:eastAsia="Arial" w:hAnsi="Arial"/>
                <w:sz w:val="18"/>
                <w:szCs w:val="18"/>
                <w:color w:val="auto"/>
              </w:rPr>
              <w:t>Terminated Patent Rights</w:t>
            </w: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HHMI</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4580" w:type="dxa"/>
            <w:vAlign w:val="bottom"/>
            <w:gridSpan w:val="2"/>
          </w:tcPr>
          <w:p>
            <w:pPr>
              <w:spacing w:after="0"/>
              <w:rPr>
                <w:sz w:val="20"/>
                <w:szCs w:val="20"/>
                <w:color w:val="auto"/>
              </w:rPr>
            </w:pPr>
            <w:r>
              <w:rPr>
                <w:rFonts w:ascii="Arial" w:cs="Arial" w:eastAsia="Arial" w:hAnsi="Arial"/>
                <w:sz w:val="18"/>
                <w:szCs w:val="18"/>
                <w:color w:val="auto"/>
              </w:rPr>
              <w:t>Termination Event</w:t>
            </w:r>
          </w:p>
        </w:tc>
        <w:tc>
          <w:tcPr>
            <w:tcW w:w="960" w:type="dxa"/>
            <w:vAlign w:val="bottom"/>
          </w:tcPr>
          <w:p>
            <w:pPr>
              <w:jc w:val="right"/>
              <w:spacing w:after="0"/>
              <w:rPr>
                <w:sz w:val="20"/>
                <w:szCs w:val="20"/>
                <w:color w:val="auto"/>
              </w:rPr>
            </w:pPr>
            <w:r>
              <w:rPr>
                <w:rFonts w:ascii="Arial" w:cs="Arial" w:eastAsia="Arial" w:hAnsi="Arial"/>
                <w:sz w:val="18"/>
                <w:szCs w:val="18"/>
                <w:color w:val="auto"/>
              </w:rPr>
              <w:t>7.4(B)</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HHMI License</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4580" w:type="dxa"/>
            <w:vAlign w:val="bottom"/>
            <w:gridSpan w:val="2"/>
          </w:tcPr>
          <w:p>
            <w:pPr>
              <w:spacing w:after="0"/>
              <w:rPr>
                <w:sz w:val="20"/>
                <w:szCs w:val="20"/>
                <w:color w:val="auto"/>
              </w:rPr>
            </w:pPr>
            <w:r>
              <w:rPr>
                <w:rFonts w:ascii="Arial" w:cs="Arial" w:eastAsia="Arial" w:hAnsi="Arial"/>
                <w:sz w:val="18"/>
                <w:szCs w:val="18"/>
                <w:color w:val="auto"/>
              </w:rPr>
              <w:t>Threshold Qualifying Offering</w:t>
            </w:r>
          </w:p>
        </w:tc>
        <w:tc>
          <w:tcPr>
            <w:tcW w:w="960" w:type="dxa"/>
            <w:vAlign w:val="bottom"/>
          </w:tcPr>
          <w:p>
            <w:pPr>
              <w:jc w:val="right"/>
              <w:spacing w:after="0"/>
              <w:rPr>
                <w:sz w:val="20"/>
                <w:szCs w:val="20"/>
                <w:color w:val="auto"/>
              </w:rPr>
            </w:pPr>
            <w:r>
              <w:rPr>
                <w:rFonts w:ascii="Arial" w:cs="Arial" w:eastAsia="Arial" w:hAnsi="Arial"/>
                <w:sz w:val="18"/>
                <w:szCs w:val="18"/>
                <w:color w:val="auto"/>
              </w:rPr>
              <w:t>7.4(A)(5)</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HHMI Patents</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480" w:hanging="452"/>
        <w:spacing w:after="0" w:line="277" w:lineRule="auto"/>
        <w:tabs>
          <w:tab w:leader="none" w:pos="4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60"/>
          </w:cols>
          <w:pgMar w:left="240" w:top="319" w:right="299" w:bottom="1440" w:gutter="0" w:footer="0" w:header="0"/>
        </w:sectPr>
      </w:pPr>
    </w:p>
    <w:bookmarkStart w:id="366" w:name="page367"/>
    <w:bookmarkEnd w:id="366"/>
    <w:p>
      <w:pPr>
        <w:ind w:left="460" w:hanging="452"/>
        <w:spacing w:after="0"/>
        <w:tabs>
          <w:tab w:leader="none" w:pos="46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Grant</w:t>
      </w:r>
      <w:r>
        <w:rPr>
          <w:rFonts w:ascii="Arial" w:cs="Arial" w:eastAsia="Arial" w:hAnsi="Arial"/>
          <w:sz w:val="16"/>
          <w:szCs w:val="16"/>
          <w:color w:val="auto"/>
        </w:rPr>
        <w:t>. Subject to the terms and conditions of this Agreement, Stanford grants Forty Seven:</w:t>
      </w:r>
    </w:p>
    <w:p>
      <w:pPr>
        <w:spacing w:after="0" w:line="135" w:lineRule="exact"/>
        <w:rPr>
          <w:sz w:val="20"/>
          <w:szCs w:val="20"/>
          <w:color w:val="auto"/>
        </w:rPr>
      </w:pPr>
    </w:p>
    <w:p>
      <w:pPr>
        <w:ind w:left="900" w:right="220" w:hanging="446"/>
        <w:spacing w:after="0" w:line="277" w:lineRule="auto"/>
        <w:tabs>
          <w:tab w:leader="none" w:pos="9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 Exclusive license under the Exclusive Patents in the Exclusive Field of Use to make, have made, use, import, offer to sell and sell Licensed Product in the Licensed Territory;</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 Exclusive license under the SIRPα Component Patents outside the SIRPα Component Field of Use to make, have made, use, import, offer to sell and sell Licensed Product in the Licensed Territory.</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 Exclusive license under the Limited Exclusive Patents to make, have made, use, import, offer to sell and sell Licensed Product in the Licensed Territory, but for the non-exclusive licenses Stanford has granted to: (i) one third party [*] prior to the Effective Date, and (ii) another third party [*] prior to the Effective Date.</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 Exclusive license under the Licensed Information to make, have made, use, import, copy, perform, display, distribute, and transmit Licensed Information for submission to the FDA and equivalent foreign regulatory agencies, and otherwise non-exclusive.</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 non-exclusive license for Licensed Technology to make, have made, use, import, copy, perform, display, distribute, and transmit Licensed Technology in all fields of use, subject to Stanford’s retained rights.</w:t>
      </w:r>
    </w:p>
    <w:p>
      <w:pPr>
        <w:spacing w:after="0" w:line="62" w:lineRule="exact"/>
        <w:rPr>
          <w:sz w:val="20"/>
          <w:szCs w:val="20"/>
          <w:color w:val="auto"/>
        </w:rPr>
      </w:pPr>
    </w:p>
    <w:p>
      <w:pPr>
        <w:jc w:val="both"/>
        <w:ind w:left="460" w:right="160"/>
        <w:spacing w:after="0" w:line="264" w:lineRule="auto"/>
        <w:rPr>
          <w:sz w:val="20"/>
          <w:szCs w:val="20"/>
          <w:color w:val="auto"/>
        </w:rPr>
      </w:pPr>
      <w:r>
        <w:rPr>
          <w:rFonts w:ascii="Arial" w:cs="Arial" w:eastAsia="Arial" w:hAnsi="Arial"/>
          <w:sz w:val="18"/>
          <w:szCs w:val="18"/>
          <w:color w:val="auto"/>
        </w:rPr>
        <w:t>It is understood by the Parties that solely with respect to the rights conveyed by Stanford pursuant to Section 3.1(A) under any patent applications and patents based on [*] that such rights are [*]. Stanford will [*] patent applications and patents based on [*]. In addition, without providing prior written notice to Forty Seven, Stanford will not [*].</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 Stanford shall provide prompt written notice to Forty Seven and [*].</w:t>
      </w:r>
    </w:p>
    <w:p>
      <w:pPr>
        <w:spacing w:after="0" w:line="127" w:lineRule="exact"/>
        <w:rPr>
          <w:sz w:val="20"/>
          <w:szCs w:val="20"/>
          <w:color w:val="auto"/>
        </w:rPr>
      </w:pPr>
    </w:p>
    <w:p>
      <w:pPr>
        <w:ind w:left="460" w:right="220" w:hanging="445"/>
        <w:spacing w:after="0" w:line="282" w:lineRule="auto"/>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Exclusivity</w:t>
      </w:r>
      <w:r>
        <w:rPr>
          <w:rFonts w:ascii="Arial" w:cs="Arial" w:eastAsia="Arial" w:hAnsi="Arial"/>
          <w:sz w:val="18"/>
          <w:szCs w:val="18"/>
          <w:color w:val="auto"/>
        </w:rPr>
        <w:t>. The licenses set forth in Section 3.1 include the right to grant Sublicense(s) under Article 4, on a Licensed Product-by-Licensed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country-by-country basis in the Licensed Field of Use beginning on the Effective Date and ending on the later of:</w:t>
      </w:r>
    </w:p>
    <w:p>
      <w:pPr>
        <w:spacing w:after="0" w:line="71" w:lineRule="exact"/>
        <w:rPr>
          <w:sz w:val="20"/>
          <w:szCs w:val="20"/>
          <w:color w:val="auto"/>
        </w:rPr>
      </w:pPr>
    </w:p>
    <w:p>
      <w:pPr>
        <w:ind w:left="900" w:hanging="446"/>
        <w:spacing w:after="0"/>
        <w:tabs>
          <w:tab w:leader="none" w:pos="9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expiration of the last-to-expire Valid Claim included in the Licensed Patents; or</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10 year anniversary of the date of first commercial sale of a Licensed Product by Forty Seven or a sublicensee. Forty Seven agrees to promptly inform Stanford in writing of this first commercial sale.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Thereafter the licenses will be fully paid up and royalty free.</w:t>
      </w:r>
    </w:p>
    <w:p>
      <w:pPr>
        <w:spacing w:after="0" w:line="127" w:lineRule="exact"/>
        <w:rPr>
          <w:sz w:val="20"/>
          <w:szCs w:val="20"/>
          <w:color w:val="auto"/>
        </w:rPr>
      </w:pPr>
    </w:p>
    <w:p>
      <w:pPr>
        <w:ind w:left="460" w:right="160" w:hanging="445"/>
        <w:spacing w:after="0" w:line="258" w:lineRule="auto"/>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b w:val="1"/>
          <w:bCs w:val="1"/>
          <w:color w:val="auto"/>
        </w:rPr>
        <w:t>Retained Rights</w:t>
      </w:r>
      <w:r>
        <w:rPr>
          <w:rFonts w:ascii="Arial" w:cs="Arial" w:eastAsia="Arial" w:hAnsi="Arial"/>
          <w:sz w:val="18"/>
          <w:szCs w:val="18"/>
          <w:color w:val="auto"/>
        </w:rPr>
        <w:t>. Stanford retains the right, on behalf of itself, Stanford Hospital and Clinics, and all other non-profit research institutions, to practice</w:t>
      </w:r>
      <w:r>
        <w:rPr>
          <w:rFonts w:ascii="Arial" w:cs="Arial" w:eastAsia="Arial" w:hAnsi="Arial"/>
          <w:sz w:val="18"/>
          <w:szCs w:val="18"/>
          <w:b w:val="1"/>
          <w:bCs w:val="1"/>
          <w:color w:val="auto"/>
        </w:rPr>
        <w:t xml:space="preserve"> </w:t>
      </w:r>
      <w:r>
        <w:rPr>
          <w:rFonts w:ascii="Arial" w:cs="Arial" w:eastAsia="Arial" w:hAnsi="Arial"/>
          <w:sz w:val="18"/>
          <w:szCs w:val="18"/>
          <w:color w:val="auto"/>
        </w:rPr>
        <w:t>the Licensed Patents and Licensed Information, and to use Licensed Technology, for any non-profit purpose, including sponsored research and collaborations. Forty Seven agrees that, notwithstanding any other provision of this Agreement, it has no right to enforce the Licensed Patents against any such institution. Stanford and any such other institution have the right to publish any information included in the Licensed Technology or a Licensed Patent.</w:t>
      </w:r>
    </w:p>
    <w:p>
      <w:pPr>
        <w:spacing w:after="0" w:line="80"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Stanford’s retained rights set forth in this Section 3.3 with respect to Licensed Information shall be subject to Section 19.1; provided that in the event that the inventors intend to publish or disclose any Licensed Information, the inventors will send such publication or disclosure to Forty Seven, and Forty Seven will respond within [*] days of receipt by Forty Seven from the inventors. In the</w:t>
      </w:r>
    </w:p>
    <w:p>
      <w:pPr>
        <w:spacing w:after="0" w:line="114" w:lineRule="exact"/>
        <w:rPr>
          <w:sz w:val="20"/>
          <w:szCs w:val="20"/>
          <w:color w:val="auto"/>
        </w:rPr>
      </w:pPr>
    </w:p>
    <w:p>
      <w:pPr>
        <w:ind w:left="460" w:right="540" w:hanging="452"/>
        <w:spacing w:after="0" w:line="277" w:lineRule="auto"/>
        <w:tabs>
          <w:tab w:leader="none" w:pos="4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269" w:right="239" w:bottom="1440" w:gutter="0" w:footer="0" w:header="0"/>
        </w:sectPr>
      </w:pPr>
    </w:p>
    <w:bookmarkStart w:id="367" w:name="page368"/>
    <w:bookmarkEnd w:id="367"/>
    <w:p>
      <w:pPr>
        <w:jc w:val="both"/>
        <w:ind w:left="460"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that there is not agreement of what information is subject to Section 19.1, the parties agree to meet and discuss within [*] days from the date of receipt of the response from Forty Seven, to come to a mutual agreement, in good faith with Stanford, about any publication of Licensed Information. Stanford certifies that [*]. Accordingly, the parties agree that [*].</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b w:val="1"/>
          <w:bCs w:val="1"/>
          <w:color w:val="auto"/>
        </w:rPr>
        <w:t>Specific Exclusion</w:t>
      </w:r>
      <w:r>
        <w:rPr>
          <w:rFonts w:ascii="Arial" w:cs="Arial" w:eastAsia="Arial" w:hAnsi="Arial"/>
          <w:sz w:val="15"/>
          <w:szCs w:val="15"/>
          <w:color w:val="auto"/>
        </w:rPr>
        <w:t>. Stanford does not:</w:t>
      </w:r>
    </w:p>
    <w:p>
      <w:pPr>
        <w:spacing w:after="0" w:line="135" w:lineRule="exact"/>
        <w:rPr>
          <w:sz w:val="20"/>
          <w:szCs w:val="20"/>
          <w:color w:val="auto"/>
        </w:rPr>
      </w:pPr>
    </w:p>
    <w:p>
      <w:pPr>
        <w:ind w:left="900" w:right="140" w:hanging="446"/>
        <w:spacing w:after="0" w:line="286" w:lineRule="auto"/>
        <w:tabs>
          <w:tab w:leader="none" w:pos="90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grant to Forty Seven any other licenses, implied or otherwise, to any patents or other rights of Stanford other than those rights granted under Licensed Patents, Licensed Information, and Licensed Technology, regardless of whether the patents or other rights are dominant or subordinate to any Licensed Patent, or are required to exploit any Licensed Patent, Licensed Information or Licensed Technology;</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commit to Forty Seven to bring suit against third parties for infringement, except as described in Article 14; and</w:t>
      </w:r>
    </w:p>
    <w:p>
      <w:pPr>
        <w:spacing w:after="0" w:line="130" w:lineRule="exact"/>
        <w:rPr>
          <w:rFonts w:ascii="Arial" w:cs="Arial" w:eastAsia="Arial" w:hAnsi="Arial"/>
          <w:sz w:val="18"/>
          <w:szCs w:val="18"/>
          <w:color w:val="auto"/>
        </w:rPr>
      </w:pPr>
    </w:p>
    <w:p>
      <w:pPr>
        <w:ind w:left="900" w:right="120" w:hanging="446"/>
        <w:spacing w:after="0" w:line="308" w:lineRule="auto"/>
        <w:tabs>
          <w:tab w:leader="none" w:pos="90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agree to furnish to Forty Seven any technology or technological information other than the Licensed Information and Licensed Technology or to provide Forty Seven with any assistance (other than transferring the Licensed Information and Licensed Technology).</w:t>
      </w:r>
    </w:p>
    <w:p>
      <w:pPr>
        <w:spacing w:after="0" w:line="48" w:lineRule="exact"/>
        <w:rPr>
          <w:sz w:val="20"/>
          <w:szCs w:val="20"/>
          <w:color w:val="auto"/>
        </w:rPr>
      </w:pPr>
    </w:p>
    <w:p>
      <w:pPr>
        <w:ind w:left="460" w:hanging="445"/>
        <w:spacing w:after="0" w:line="261" w:lineRule="auto"/>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b w:val="1"/>
          <w:bCs w:val="1"/>
          <w:color w:val="auto"/>
        </w:rPr>
        <w:t>HHMI Research License</w:t>
      </w:r>
      <w:r>
        <w:rPr>
          <w:rFonts w:ascii="Arial" w:cs="Arial" w:eastAsia="Arial" w:hAnsi="Arial"/>
          <w:sz w:val="18"/>
          <w:szCs w:val="18"/>
          <w:color w:val="auto"/>
        </w:rPr>
        <w:t>. Forty Seven acknowledges that it has been informed that the [*] Patents and any patent applications and patents based on [*]</w:t>
      </w:r>
      <w:r>
        <w:rPr>
          <w:rFonts w:ascii="Arial" w:cs="Arial" w:eastAsia="Arial" w:hAnsi="Arial"/>
          <w:sz w:val="18"/>
          <w:szCs w:val="18"/>
          <w:b w:val="1"/>
          <w:bCs w:val="1"/>
          <w:color w:val="auto"/>
        </w:rPr>
        <w:t xml:space="preserve"> </w:t>
      </w:r>
      <w:r>
        <w:rPr>
          <w:rFonts w:ascii="Arial" w:cs="Arial" w:eastAsia="Arial" w:hAnsi="Arial"/>
          <w:sz w:val="18"/>
          <w:szCs w:val="18"/>
          <w:color w:val="auto"/>
        </w:rPr>
        <w:t>(“HHMI Patents”) were developed, at least in part, by employees of HHMI and that HHMI has a paid-up, non-exclusive, irrevocable license to use the HHMI Patents for HHMI’s research purposes, but with no right to assign or sublicense (the “HHMI License”). This Agreement is explicitly made subject to the HHMI License.</w:t>
      </w:r>
    </w:p>
    <w:p>
      <w:pPr>
        <w:spacing w:after="0" w:line="86" w:lineRule="exact"/>
        <w:rPr>
          <w:sz w:val="20"/>
          <w:szCs w:val="20"/>
          <w:color w:val="auto"/>
        </w:rPr>
      </w:pPr>
    </w:p>
    <w:p>
      <w:pPr>
        <w:ind w:left="460" w:right="40" w:hanging="445"/>
        <w:spacing w:after="0" w:line="303" w:lineRule="auto"/>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Transfers</w:t>
      </w:r>
      <w:r>
        <w:rPr>
          <w:rFonts w:ascii="Arial" w:cs="Arial" w:eastAsia="Arial" w:hAnsi="Arial"/>
          <w:sz w:val="16"/>
          <w:szCs w:val="16"/>
          <w:color w:val="auto"/>
        </w:rPr>
        <w:t>. Upon written election from Forty Seven, Stanford will, using reasonable efforts, and at Forty Seven’s option sublicense, transfer, and/or</w:t>
      </w:r>
      <w:r>
        <w:rPr>
          <w:rFonts w:ascii="Arial" w:cs="Arial" w:eastAsia="Arial" w:hAnsi="Arial"/>
          <w:sz w:val="16"/>
          <w:szCs w:val="16"/>
          <w:b w:val="1"/>
          <w:bCs w:val="1"/>
          <w:color w:val="auto"/>
        </w:rPr>
        <w:t xml:space="preserve"> </w:t>
      </w:r>
      <w:r>
        <w:rPr>
          <w:rFonts w:ascii="Arial" w:cs="Arial" w:eastAsia="Arial" w:hAnsi="Arial"/>
          <w:sz w:val="16"/>
          <w:szCs w:val="16"/>
          <w:color w:val="auto"/>
        </w:rPr>
        <w:t>assign to Forty Seven any or all of the rights under any agreements or contracts between Stanford and any third party related to any of the Licensed Information and/or Licensed Technology, except to the extent prohibited by such agreements existing as of the Effective Date. In addition, upon written election from Forty Seven, Stanford shall assign and transfer to Forty Seven all of the rights in and to the IND (as defined in Appendix E).</w:t>
      </w:r>
    </w:p>
    <w:p>
      <w:pPr>
        <w:spacing w:after="0" w:line="300" w:lineRule="exact"/>
        <w:rPr>
          <w:sz w:val="20"/>
          <w:szCs w:val="20"/>
          <w:color w:val="auto"/>
        </w:rPr>
      </w:pPr>
    </w:p>
    <w:p>
      <w:pPr>
        <w:ind w:left="460" w:hanging="452"/>
        <w:spacing w:after="0"/>
        <w:tabs>
          <w:tab w:leader="none" w:pos="46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SUBLICENSING</w:t>
      </w:r>
    </w:p>
    <w:p>
      <w:pPr>
        <w:spacing w:after="0" w:line="131" w:lineRule="exact"/>
        <w:rPr>
          <w:sz w:val="20"/>
          <w:szCs w:val="20"/>
          <w:color w:val="auto"/>
        </w:rPr>
      </w:pPr>
    </w:p>
    <w:p>
      <w:pPr>
        <w:ind w:left="460" w:hanging="445"/>
        <w:spacing w:after="0" w:line="273" w:lineRule="auto"/>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b w:val="1"/>
          <w:bCs w:val="1"/>
          <w:color w:val="auto"/>
        </w:rPr>
        <w:t>Permitted Sublicensing</w:t>
      </w:r>
      <w:r>
        <w:rPr>
          <w:rFonts w:ascii="Arial" w:cs="Arial" w:eastAsia="Arial" w:hAnsi="Arial"/>
          <w:sz w:val="17"/>
          <w:szCs w:val="17"/>
          <w:color w:val="auto"/>
        </w:rPr>
        <w:t>. Forty Seven may grant Sublicenses through multiple tiers of sublicensing in the Licensed Field of Use only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term and only if Forty Seven is developing or selling Licensed Products directly or through its Affiliates or sublicensees. Sublicenses with any exclusivity must include diligence requirements commensurate with the diligence requirements of Appendix A. Stanford agrees that Forty Seven may apportion without discrimination between Forty Seven and Stanford patents a commercially reasonable percentage of sublicensing payments made to Stanford pursuant to Section 4.6, provided however that Forty Seven provides Stanford with the proposed apportionment and justification prior to Forty Seven’s payment pursuant to Section 8.1. Stanford and Forty Seven agree to meet to discuss such proposed apportionment if in Stanford’s opinion the apportionment does not reasonably reflect the value of the Licensed Patents.</w:t>
      </w:r>
    </w:p>
    <w:p>
      <w:pPr>
        <w:spacing w:after="0" w:line="78" w:lineRule="exact"/>
        <w:rPr>
          <w:sz w:val="20"/>
          <w:szCs w:val="20"/>
          <w:color w:val="auto"/>
        </w:rPr>
      </w:pPr>
    </w:p>
    <w:p>
      <w:pPr>
        <w:ind w:left="460" w:right="20" w:hanging="445"/>
        <w:spacing w:after="0" w:line="258" w:lineRule="auto"/>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color w:val="auto"/>
        </w:rPr>
        <w:t>Required Sublicensing</w:t>
      </w:r>
      <w:r>
        <w:rPr>
          <w:rFonts w:ascii="Arial" w:cs="Arial" w:eastAsia="Arial" w:hAnsi="Arial"/>
          <w:sz w:val="18"/>
          <w:szCs w:val="18"/>
          <w:color w:val="auto"/>
        </w:rPr>
        <w:t>. If Forty Seven directly or through its Affiliates or sublicensees is unable or unwilling to serve or develop a potential market or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territory for which there is a reputable company with adequate resources willing to be a sublicensee, and such sublicensee has provided Stanford and Forty Seven with a bona fide, detailed proposal to develop a Licensed Product for a potential market or potential territory that would not interfere with any existing or future Licensed Products of Forty Seven as reasonably demonstrated by Forty Seven in a written document to Stanford, then Forty Seven will, at Stanford’s request, negotiate in good faith a</w:t>
      </w:r>
    </w:p>
    <w:p>
      <w:pPr>
        <w:spacing w:after="0" w:line="120" w:lineRule="exact"/>
        <w:rPr>
          <w:sz w:val="20"/>
          <w:szCs w:val="20"/>
          <w:color w:val="auto"/>
        </w:rPr>
      </w:pPr>
    </w:p>
    <w:p>
      <w:pPr>
        <w:ind w:left="460" w:right="540" w:hanging="452"/>
        <w:spacing w:after="0" w:line="277" w:lineRule="auto"/>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274" w:right="239" w:bottom="1440" w:gutter="0" w:footer="0" w:header="0"/>
        </w:sectPr>
      </w:pPr>
    </w:p>
    <w:bookmarkStart w:id="368" w:name="page369"/>
    <w:bookmarkEnd w:id="368"/>
    <w:p>
      <w:pPr>
        <w:ind w:left="4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Sublicense with any such sublicensee. Stanford would like licensees to address unmet needs, such as those of neglected patient populations or geographic areas, giving particular attention to improved therapeutics, diagnostics and agricultural technologies for the developing world, as applicable.</w:t>
      </w:r>
    </w:p>
    <w:p>
      <w:pPr>
        <w:spacing w:after="0" w:line="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Sublicense Requirements</w:t>
      </w:r>
      <w:r>
        <w:rPr>
          <w:rFonts w:ascii="Arial" w:cs="Arial" w:eastAsia="Arial" w:hAnsi="Arial"/>
          <w:sz w:val="16"/>
          <w:szCs w:val="16"/>
          <w:color w:val="auto"/>
        </w:rPr>
        <w:t>. Any Sublicense:</w:t>
      </w:r>
    </w:p>
    <w:p>
      <w:pPr>
        <w:spacing w:after="0" w:line="135" w:lineRule="exact"/>
        <w:rPr>
          <w:sz w:val="20"/>
          <w:szCs w:val="20"/>
          <w:color w:val="auto"/>
        </w:rPr>
      </w:pPr>
    </w:p>
    <w:p>
      <w:pPr>
        <w:ind w:left="900" w:hanging="446"/>
        <w:spacing w:after="0"/>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is subject to this Agreement, except that financial terms may differ;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will prohibit sublicensee from paying royalties to an escrow or other similar account;</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will expressly include the provisions of 8, 9, 10 and Section 3.5 and 19.3 for the benefit of Stanford and HHMI, and provisions that allow Forty Seven to comply with its obligations to Stanford and/or HHMI under Article 8; and</w:t>
      </w:r>
    </w:p>
    <w:p>
      <w:pPr>
        <w:spacing w:after="0" w:line="7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will include the provisions of Section 4.4 and require the transfer of all the sublicensee’s obligations to Forty Seven, including the payment of royalties specified in the Sublicense (up to the earned royalty rates set forth in this Agreement), to Stanford or its designee, if this Agreement is terminated by Stanford. If the sublicensee is a spin-out from Forty Seven, Forty Seven must guarantee the sublicensee’s performance with respect to the payment of Stanford’s share of Sublicense royalties.</w:t>
      </w:r>
    </w:p>
    <w:p>
      <w:pPr>
        <w:spacing w:after="0" w:line="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Litigation by Sublicensee</w:t>
      </w:r>
      <w:r>
        <w:rPr>
          <w:rFonts w:ascii="Arial" w:cs="Arial" w:eastAsia="Arial" w:hAnsi="Arial"/>
          <w:sz w:val="16"/>
          <w:szCs w:val="16"/>
          <w:color w:val="auto"/>
        </w:rPr>
        <w:t>. Any Sublicense must include the following clauses:</w:t>
      </w:r>
    </w:p>
    <w:p>
      <w:pPr>
        <w:spacing w:after="0" w:line="135" w:lineRule="exact"/>
        <w:rPr>
          <w:sz w:val="20"/>
          <w:szCs w:val="20"/>
          <w:color w:val="auto"/>
        </w:rPr>
      </w:pPr>
    </w:p>
    <w:p>
      <w:pPr>
        <w:ind w:left="900" w:hanging="446"/>
        <w:spacing w:after="0"/>
        <w:tabs>
          <w:tab w:leader="none" w:pos="9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 the event sublicensee brings an action seeking to invalidate any Licensed Patent:</w:t>
      </w:r>
    </w:p>
    <w:p>
      <w:pPr>
        <w:spacing w:after="0" w:line="130" w:lineRule="exact"/>
        <w:rPr>
          <w:rFonts w:ascii="Arial" w:cs="Arial" w:eastAsia="Arial" w:hAnsi="Arial"/>
          <w:sz w:val="18"/>
          <w:szCs w:val="18"/>
          <w:color w:val="auto"/>
        </w:rPr>
      </w:pPr>
    </w:p>
    <w:p>
      <w:pPr>
        <w:ind w:left="1480" w:right="440" w:hanging="567"/>
        <w:spacing w:after="0" w:line="308" w:lineRule="auto"/>
        <w:tabs>
          <w:tab w:leader="none" w:pos="1480" w:val="left"/>
        </w:tabs>
        <w:numPr>
          <w:ilvl w:val="1"/>
          <w:numId w:val="388"/>
        </w:numPr>
        <w:rPr>
          <w:rFonts w:ascii="Arial" w:cs="Arial" w:eastAsia="Arial" w:hAnsi="Arial"/>
          <w:sz w:val="17"/>
          <w:szCs w:val="17"/>
          <w:color w:val="auto"/>
        </w:rPr>
      </w:pPr>
      <w:r>
        <w:rPr>
          <w:rFonts w:ascii="Arial" w:cs="Arial" w:eastAsia="Arial" w:hAnsi="Arial"/>
          <w:sz w:val="17"/>
          <w:szCs w:val="17"/>
          <w:color w:val="auto"/>
        </w:rPr>
        <w:t>sublicensee will [*] during the pendency of such action. Moreover, should the outcome of such action determine that any claim of a patent challenged by the sublicensee is both valid and infringed by a Licensed Product, sublicensee will [*];</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sublicensee will [*] during the period challenge;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any dispute regarding the validity of any Licensed Patent shall be [*], and the parties agree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sublicensee shall [*].</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Sublicensee will provide written notice to Stanford at least [*] prior to bringing an action seeking to invalidate a Licensed Patent. Sublicensee will include with such written notice [*].</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Notwithstanding the foregoing, in the event a sublicensee files a counterclaim asserting invalidity of one or more Licensed Patents in response to an actual infringement suit directed to the Licensed Patents by Stanford, such sublicensee shall not be deemed to have initiated an action to invalidate a Licensed Patent and Sections 4.4(A) and 4.4(B) above shall not apply.</w:t>
      </w:r>
    </w:p>
    <w:p>
      <w:pPr>
        <w:spacing w:after="0" w:line="83" w:lineRule="exact"/>
        <w:rPr>
          <w:sz w:val="20"/>
          <w:szCs w:val="20"/>
          <w:color w:val="auto"/>
        </w:rPr>
      </w:pPr>
    </w:p>
    <w:p>
      <w:pPr>
        <w:ind w:left="460" w:right="60" w:hanging="445"/>
        <w:spacing w:after="0" w:line="314" w:lineRule="auto"/>
        <w:tabs>
          <w:tab w:leader="none" w:pos="4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Copy of Sublicenses and Sublicensee Royalty Reports</w:t>
      </w:r>
      <w:r>
        <w:rPr>
          <w:rFonts w:ascii="Arial" w:cs="Arial" w:eastAsia="Arial" w:hAnsi="Arial"/>
          <w:sz w:val="16"/>
          <w:szCs w:val="16"/>
          <w:color w:val="auto"/>
        </w:rPr>
        <w:t>. Forty Seven will submit to Stanford a copy of each Sublicense, any subsequent amendments,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copies of sublicensees’ royalty reports, which may in each case be reasonably redacted for information not relevant to this Agreement. Beginning with the first Sublicense, the Chief Financial Officer or equivalent will certify annually regarding the name and number of sublicensees.</w:t>
      </w:r>
    </w:p>
    <w:p>
      <w:pPr>
        <w:spacing w:after="0" w:line="79" w:lineRule="exact"/>
        <w:rPr>
          <w:sz w:val="20"/>
          <w:szCs w:val="20"/>
          <w:color w:val="auto"/>
        </w:rPr>
      </w:pPr>
    </w:p>
    <w:p>
      <w:pPr>
        <w:ind w:left="460" w:right="520" w:hanging="452"/>
        <w:spacing w:after="0" w:line="277" w:lineRule="auto"/>
        <w:tabs>
          <w:tab w:leader="none" w:pos="4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274" w:right="259" w:bottom="1440" w:gutter="0" w:footer="0" w:header="0"/>
        </w:sectPr>
      </w:pPr>
    </w:p>
    <w:bookmarkStart w:id="369" w:name="page370"/>
    <w:bookmarkEnd w:id="36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w:t>
      </w:r>
      <w:r>
        <w:rPr>
          <w:sz w:val="20"/>
          <w:szCs w:val="20"/>
          <w:color w:val="auto"/>
        </w:rPr>
        <w:tab/>
      </w:r>
      <w:r>
        <w:rPr>
          <w:rFonts w:ascii="Arial" w:cs="Arial" w:eastAsia="Arial" w:hAnsi="Arial"/>
          <w:sz w:val="16"/>
          <w:szCs w:val="16"/>
          <w:b w:val="1"/>
          <w:bCs w:val="1"/>
          <w:color w:val="auto"/>
        </w:rPr>
        <w:t>Sharing of Sublicensing Income</w:t>
      </w:r>
      <w:r>
        <w:rPr>
          <w:rFonts w:ascii="Arial" w:cs="Arial" w:eastAsia="Arial" w:hAnsi="Arial"/>
          <w:sz w:val="16"/>
          <w:szCs w:val="16"/>
          <w:color w:val="auto"/>
        </w:rPr>
        <w:t>. Forty Seven will pay to Stanford a portion of all Nonroyalty Sublicensing Consideration for the Sublicense of</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Licensed Patents and Technology, as provided below:</w:t>
      </w:r>
    </w:p>
    <w:p>
      <w:pPr>
        <w:spacing w:after="0" w:line="116" w:lineRule="exact"/>
        <w:rPr>
          <w:sz w:val="20"/>
          <w:szCs w:val="20"/>
          <w:color w:val="auto"/>
        </w:rPr>
      </w:pPr>
    </w:p>
    <w:p>
      <w:pPr>
        <w:ind w:left="900" w:hanging="446"/>
        <w:spacing w:after="0"/>
        <w:tabs>
          <w:tab w:leader="none" w:pos="9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of Nonroyalty Sublicensing Consideration attributable to the Licensed Patents, up to the time [*];</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thereafter, [*]% of Nonroyalty Sublicensing Consideration attributable to the Licensed Patents, up to the time [*];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thereafter, [*]% of Nonroyalty Sublicensing Consideration attributable to the Licensed Patents.</w:t>
      </w:r>
    </w:p>
    <w:p>
      <w:pPr>
        <w:spacing w:after="0" w:line="127" w:lineRule="exact"/>
        <w:rPr>
          <w:sz w:val="20"/>
          <w:szCs w:val="20"/>
          <w:color w:val="auto"/>
        </w:rPr>
      </w:pPr>
    </w:p>
    <w:p>
      <w:pPr>
        <w:ind w:left="460" w:right="360" w:hanging="445"/>
        <w:spacing w:after="0" w:line="282" w:lineRule="auto"/>
        <w:tabs>
          <w:tab w:leader="none" w:pos="4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b w:val="1"/>
          <w:bCs w:val="1"/>
          <w:color w:val="auto"/>
        </w:rPr>
        <w:t>Royalty-Free Sublicenses</w:t>
      </w:r>
      <w:r>
        <w:rPr>
          <w:rFonts w:ascii="Arial" w:cs="Arial" w:eastAsia="Arial" w:hAnsi="Arial"/>
          <w:sz w:val="18"/>
          <w:szCs w:val="18"/>
          <w:color w:val="auto"/>
        </w:rPr>
        <w:t>. If Forty Seven pays all royalties due Stanford from a sublicensee’s Net Sales, Forty Seven may grant that sublicensee a</w:t>
      </w:r>
      <w:r>
        <w:rPr>
          <w:rFonts w:ascii="Arial" w:cs="Arial" w:eastAsia="Arial" w:hAnsi="Arial"/>
          <w:sz w:val="18"/>
          <w:szCs w:val="18"/>
          <w:b w:val="1"/>
          <w:bCs w:val="1"/>
          <w:color w:val="auto"/>
        </w:rPr>
        <w:t xml:space="preserve"> </w:t>
      </w:r>
      <w:r>
        <w:rPr>
          <w:rFonts w:ascii="Arial" w:cs="Arial" w:eastAsia="Arial" w:hAnsi="Arial"/>
          <w:sz w:val="18"/>
          <w:szCs w:val="18"/>
          <w:color w:val="auto"/>
        </w:rPr>
        <w:t>royalty-free or non-cash:</w:t>
      </w:r>
    </w:p>
    <w:p>
      <w:pPr>
        <w:spacing w:after="0" w:line="71" w:lineRule="exact"/>
        <w:rPr>
          <w:sz w:val="20"/>
          <w:szCs w:val="20"/>
          <w:color w:val="auto"/>
        </w:rPr>
      </w:pPr>
    </w:p>
    <w:p>
      <w:pPr>
        <w:ind w:left="900" w:hanging="446"/>
        <w:spacing w:after="0"/>
        <w:tabs>
          <w:tab w:leader="none" w:pos="90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Sublicense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cross-license.</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SPONSOR RIGHTS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Agreement is subject to Title 35 Sections 200-204 of the United States Code. Among other things, these provisions provide the United States Government with nonexclusive rights in the Licensed Patent. They also impose the obligation that Licensed Product sold or produced in the United States be “manufactured substantially in the United States,” (subject to waivers available under applicable laws). In addition, due to CIRM funding, Forty Seven understands that this Agreement is subject to Title 17, California Code of Regulations and the provisions of section 100607 under Title 17 place requirements on Forty Seven for access to Licensed Product in California. Forty Seven will ensure all obligations of these provisions applicable to Forty Seven are met. Stanford will be responsible for all of Stanford’s obligations to sponsors of the Licensed Patent(s), Licensed Information, and Licensed Technology, including such obligations to NIH, CIRM, LLS, NYSCF, and Ludwig, and all of its obligations under the agreement between Stanford and [*], and, as between Forty Seven and Stanford, will ensure all such obligations are met.</w:t>
      </w:r>
    </w:p>
    <w:p>
      <w:pPr>
        <w:spacing w:after="0" w:line="337" w:lineRule="exact"/>
        <w:rPr>
          <w:sz w:val="20"/>
          <w:szCs w:val="20"/>
          <w:color w:val="auto"/>
        </w:rPr>
      </w:pPr>
    </w:p>
    <w:p>
      <w:pPr>
        <w:ind w:left="460" w:hanging="452"/>
        <w:spacing w:after="0"/>
        <w:tabs>
          <w:tab w:leader="none" w:pos="46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DILIGENCE</w:t>
      </w:r>
    </w:p>
    <w:p>
      <w:pPr>
        <w:spacing w:after="0" w:line="131" w:lineRule="exact"/>
        <w:rPr>
          <w:sz w:val="20"/>
          <w:szCs w:val="20"/>
          <w:color w:val="auto"/>
        </w:rPr>
      </w:pPr>
    </w:p>
    <w:p>
      <w:pPr>
        <w:ind w:left="460" w:hanging="445"/>
        <w:spacing w:after="0" w:line="271"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b w:val="1"/>
          <w:bCs w:val="1"/>
          <w:color w:val="auto"/>
        </w:rPr>
        <w:t>Milestones</w:t>
      </w:r>
      <w:r>
        <w:rPr>
          <w:rFonts w:ascii="Arial" w:cs="Arial" w:eastAsia="Arial" w:hAnsi="Arial"/>
          <w:sz w:val="17"/>
          <w:szCs w:val="17"/>
          <w:color w:val="auto"/>
        </w:rPr>
        <w:t>. Because the invention is not yet commercially viable as of the Effective Date, Forty Seven directly or through its Affiliates, sublicensees or</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will use commercially reasonable efforts to develop, manufacture, and sell Licensed Product and will use commercially reasonable efforts to develop markets for Licensed Product. In addition, Forty Seven will meet the milestones shown in Appendix A, and notify Stanford in writing promptly after each milestone is met. To the extent that there are delays in any of the milestones shown in Appendix A for reasons beyond the reasonable control of Forty Seven, then the timeframe for the performance of the milestones will be subject to a day-for-day extension. Without limiting the foregoing, Forty Seven shall have the right to obtain, [*], extensions to such milestone dates shown in Appendix A. The Parties agree that, subject to Forty Seven’s right to extend the timeline for any milestone pursuant to this Section 6.1 above, failure to meet any milestone set forth in Appendix A for [*] shall not give Stanford the right to terminate or otherwise affect the license granted to Forty Seven for any other Licensed Product; and further, that the remedy for any such failure with respect to such [*], shall be as set forth in Section 6.4.</w:t>
      </w:r>
    </w:p>
    <w:p>
      <w:pPr>
        <w:spacing w:after="0" w:line="80" w:lineRule="exact"/>
        <w:rPr>
          <w:sz w:val="20"/>
          <w:szCs w:val="20"/>
          <w:color w:val="auto"/>
        </w:rPr>
      </w:pPr>
    </w:p>
    <w:p>
      <w:pPr>
        <w:ind w:left="460" w:hanging="445"/>
        <w:spacing w:after="0" w:line="313" w:lineRule="auto"/>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b w:val="1"/>
          <w:bCs w:val="1"/>
          <w:color w:val="auto"/>
        </w:rPr>
        <w:t>Progress Report</w:t>
      </w:r>
      <w:r>
        <w:rPr>
          <w:rFonts w:ascii="Arial" w:cs="Arial" w:eastAsia="Arial" w:hAnsi="Arial"/>
          <w:sz w:val="17"/>
          <w:szCs w:val="17"/>
          <w:color w:val="auto"/>
        </w:rPr>
        <w:t>. By [*] of each year, Forty Seven will submit a written annual report to Stanford covering the preceding calendar year. The report will</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information sufficient to enable Stanford to satisfy reporting requirements of the U.S. Government, CIRM and for Stanford to</w:t>
      </w:r>
    </w:p>
    <w:p>
      <w:pPr>
        <w:spacing w:after="0" w:line="75" w:lineRule="exact"/>
        <w:rPr>
          <w:sz w:val="20"/>
          <w:szCs w:val="20"/>
          <w:color w:val="auto"/>
        </w:rPr>
      </w:pPr>
    </w:p>
    <w:p>
      <w:pPr>
        <w:ind w:left="460" w:right="520" w:hanging="452"/>
        <w:spacing w:after="0" w:line="277" w:lineRule="auto"/>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270" w:right="259" w:bottom="1440" w:gutter="0" w:footer="0" w:header="0"/>
        </w:sectPr>
      </w:pPr>
    </w:p>
    <w:bookmarkStart w:id="370" w:name="page371"/>
    <w:bookmarkEnd w:id="370"/>
    <w:p>
      <w:pPr>
        <w:ind w:left="460" w:right="1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ascertain progress by Forty Seven toward meeting this Agreement’s diligence requirements. Each report will describe, where relevant: Forty Seven’s progress toward commercialization of Licensed Product, including work completed, key scientific discoveries, summary of work-in-progress, current schedule of anticipated events or milestones, market plans for introduction of Licensed Product, and significant corporate transactions involving Licensed Product. Forty Seven will specifically describe how each Licensed Product is related to each Licensed Patent, and/or Licensed Information.</w:t>
      </w:r>
    </w:p>
    <w:p>
      <w:pPr>
        <w:spacing w:after="0" w:line="56" w:lineRule="exact"/>
        <w:rPr>
          <w:sz w:val="20"/>
          <w:szCs w:val="20"/>
          <w:color w:val="auto"/>
        </w:rPr>
      </w:pPr>
    </w:p>
    <w:p>
      <w:pPr>
        <w:ind w:left="460" w:right="540" w:hanging="445"/>
        <w:spacing w:after="0" w:line="282" w:lineRule="auto"/>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b w:val="1"/>
          <w:bCs w:val="1"/>
          <w:color w:val="auto"/>
        </w:rPr>
        <w:t>Clinical Trial Notice</w:t>
      </w:r>
      <w:r>
        <w:rPr>
          <w:rFonts w:ascii="Arial" w:cs="Arial" w:eastAsia="Arial" w:hAnsi="Arial"/>
          <w:sz w:val="18"/>
          <w:szCs w:val="18"/>
          <w:color w:val="auto"/>
        </w:rPr>
        <w:t>. Forty Seven will notify the Stanford University Office of Technology Licensing prior to commencing any clinical trials at</w:t>
      </w:r>
      <w:r>
        <w:rPr>
          <w:rFonts w:ascii="Arial" w:cs="Arial" w:eastAsia="Arial" w:hAnsi="Arial"/>
          <w:sz w:val="18"/>
          <w:szCs w:val="18"/>
          <w:b w:val="1"/>
          <w:bCs w:val="1"/>
          <w:color w:val="auto"/>
        </w:rPr>
        <w:t xml:space="preserve"> </w:t>
      </w:r>
      <w:r>
        <w:rPr>
          <w:rFonts w:ascii="Arial" w:cs="Arial" w:eastAsia="Arial" w:hAnsi="Arial"/>
          <w:sz w:val="18"/>
          <w:szCs w:val="18"/>
          <w:color w:val="auto"/>
        </w:rPr>
        <w:t>Stanford.</w:t>
      </w:r>
    </w:p>
    <w:p>
      <w:pPr>
        <w:spacing w:after="0" w:line="67" w:lineRule="exact"/>
        <w:rPr>
          <w:sz w:val="20"/>
          <w:szCs w:val="20"/>
          <w:color w:val="auto"/>
        </w:rPr>
      </w:pPr>
    </w:p>
    <w:p>
      <w:pPr>
        <w:ind w:left="460" w:right="20" w:hanging="445"/>
        <w:spacing w:after="0" w:line="261" w:lineRule="auto"/>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b w:val="1"/>
          <w:bCs w:val="1"/>
          <w:color w:val="auto"/>
        </w:rPr>
        <w:t>Remedy for Failure</w:t>
      </w:r>
      <w:r>
        <w:rPr>
          <w:rFonts w:ascii="Arial" w:cs="Arial" w:eastAsia="Arial" w:hAnsi="Arial"/>
          <w:sz w:val="18"/>
          <w:szCs w:val="18"/>
          <w:color w:val="auto"/>
        </w:rPr>
        <w:t>. If Forty Seven (itself or through its Affiliates, sublicensees, or partners) has failed to meet the requirements of Section 6.1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 (“Deficient Product”), then Stanford shall have the right to terminate the license for such Deficient Product under this Agreement and any Licensed Patent(s) solely covering such Deficient Product in accordance with and subject to Section 15.2(B) (such Licensed Patent(s) if terminated, the “Terminated Patent Rights”).</w:t>
      </w:r>
    </w:p>
    <w:p>
      <w:pPr>
        <w:spacing w:after="0" w:line="329" w:lineRule="exact"/>
        <w:rPr>
          <w:sz w:val="20"/>
          <w:szCs w:val="20"/>
          <w:color w:val="auto"/>
        </w:rPr>
      </w:pPr>
    </w:p>
    <w:p>
      <w:pPr>
        <w:ind w:left="460" w:hanging="452"/>
        <w:spacing w:after="0"/>
        <w:tabs>
          <w:tab w:leader="none" w:pos="46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131" w:lineRule="exact"/>
        <w:rPr>
          <w:sz w:val="20"/>
          <w:szCs w:val="20"/>
          <w:color w:val="auto"/>
        </w:rPr>
      </w:pPr>
    </w:p>
    <w:p>
      <w:pPr>
        <w:ind w:left="460" w:right="520" w:hanging="445"/>
        <w:spacing w:after="0" w:line="282" w:lineRule="auto"/>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b w:val="1"/>
          <w:bCs w:val="1"/>
          <w:color w:val="auto"/>
        </w:rPr>
        <w:t>Issue Royalty</w:t>
      </w:r>
      <w:r>
        <w:rPr>
          <w:rFonts w:ascii="Arial" w:cs="Arial" w:eastAsia="Arial" w:hAnsi="Arial"/>
          <w:sz w:val="18"/>
          <w:szCs w:val="18"/>
          <w:color w:val="auto"/>
        </w:rPr>
        <w:t>. Forty Seven will pay to Stanford a noncreditable, nonrefundable license issue royalty of $100,000, payable within [*] days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67"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Equity Interest</w:t>
      </w:r>
      <w:r>
        <w:rPr>
          <w:rFonts w:ascii="Arial" w:cs="Arial" w:eastAsia="Arial" w:hAnsi="Arial"/>
          <w:sz w:val="16"/>
          <w:szCs w:val="16"/>
          <w:color w:val="auto"/>
        </w:rPr>
        <w:t>. As further consideration, Forty Seven will grant to Stanford [*] shares of common stock in Forty Seven. When issued, those [*] shares</w:t>
      </w:r>
    </w:p>
    <w:p>
      <w:pPr>
        <w:spacing w:after="0" w:line="27" w:lineRule="exact"/>
        <w:rPr>
          <w:sz w:val="20"/>
          <w:szCs w:val="20"/>
          <w:color w:val="auto"/>
        </w:rPr>
      </w:pPr>
    </w:p>
    <w:p>
      <w:pPr>
        <w:ind w:left="460"/>
        <w:spacing w:after="0" w:line="268" w:lineRule="auto"/>
        <w:rPr>
          <w:sz w:val="20"/>
          <w:szCs w:val="20"/>
          <w:color w:val="auto"/>
        </w:rPr>
      </w:pPr>
      <w:r>
        <w:rPr>
          <w:rFonts w:ascii="Arial" w:cs="Arial" w:eastAsia="Arial" w:hAnsi="Arial"/>
          <w:sz w:val="17"/>
          <w:szCs w:val="17"/>
          <w:color w:val="auto"/>
        </w:rPr>
        <w:t>of common stock will represent not less than [*]% of the common stock in Forty Seven on a Fully-Diluted Basis. The per share valuation of these shares will be provided to Stanford within [*] days of the Effective Date. Forty Seven agrees to provide Stanford with the capitalization table upon which the above calculation is made. Forty Seven will issue shares granted to Stanford pursuant to this Section 7.2 and Section 7.3 directly to and in the name of the inventors listed in Exhibit 1 and allocated as stated in Exhibit 1, which will be provided by Stanford to Forty Seven after the contract is fully executed. Stanford acknowledges that, in partial consideration for Forty Seven issuing such shares directly to the inventors listed above in Exhibit 1, Forty Seven intends to require such inventors to execute inventors certificates certifying that the inventors have assigned and do assign their rights in the Licensed Patents, Licensed Technology, and Licensed Information to Stanford, and disclosing any agreements that would provide any third party rights in or to any of the foregoing.</w:t>
      </w:r>
    </w:p>
    <w:p>
      <w:pPr>
        <w:spacing w:after="0" w:line="86" w:lineRule="exact"/>
        <w:rPr>
          <w:sz w:val="20"/>
          <w:szCs w:val="20"/>
          <w:color w:val="auto"/>
        </w:rPr>
      </w:pPr>
    </w:p>
    <w:p>
      <w:pPr>
        <w:ind w:left="460" w:right="40" w:hanging="445"/>
        <w:spacing w:after="0" w:line="271" w:lineRule="auto"/>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b w:val="1"/>
          <w:bCs w:val="1"/>
          <w:color w:val="auto"/>
        </w:rPr>
        <w:t>Anti-Dilution Protection</w:t>
      </w:r>
      <w:r>
        <w:rPr>
          <w:rFonts w:ascii="Arial" w:cs="Arial" w:eastAsia="Arial" w:hAnsi="Arial"/>
          <w:sz w:val="17"/>
          <w:szCs w:val="17"/>
          <w:color w:val="auto"/>
        </w:rPr>
        <w:t>. In addition, Forty Seven will issue Stanford, without further consideration, any additional shares of stock of the class issued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above necessary to ensure that the total number of shares issued Stanford does not represent less than [*]% of the shares issued and outstanding on a Fully-Diluted Basis at any time through the completion of issuance of all shares to be issued in connection with the First Round of bona fide equity investment in Forty Seven from a single or group of investors which is both (i) at least $[*] in size and (ii) at a price per share which, when applied to stock actually outstanding immediately after such round, implies a post-financing equity valuation of Forty Seven of at least $[*] (provided that if more than $[*] is raised as of such time, the calculation of Stanford’s percentage ownership shall be determined as if only $[*] was raised). A “First Round” is a bona fide round of equity, warrant, option or convertible equity investment which includes all the tranches prior to the completion of the financing. This right will expire upon the issuance of all shares to be issued in connection with such First Round, but will apply to all shares to be issued in or in connection with such First Round.</w:t>
      </w:r>
    </w:p>
    <w:p>
      <w:pPr>
        <w:spacing w:after="0" w:line="3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Purchase Right.</w:t>
      </w:r>
    </w:p>
    <w:p>
      <w:pPr>
        <w:spacing w:after="0" w:line="135" w:lineRule="exact"/>
        <w:rPr>
          <w:sz w:val="20"/>
          <w:szCs w:val="20"/>
          <w:color w:val="auto"/>
        </w:rPr>
      </w:pPr>
    </w:p>
    <w:p>
      <w:pPr>
        <w:ind w:left="900" w:right="60" w:hanging="446"/>
        <w:spacing w:after="0" w:line="264" w:lineRule="auto"/>
        <w:tabs>
          <w:tab w:leader="none" w:pos="90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Stanford shall have the right, but not the obligation, to purchase for cash up to its Share of the securities issued in any Qualifying Offering on the terms, and subject to the conditions, set forth in this Section 7.4 and Section 7.5 (the “Purchase Right”). For purposes of this Section 7.4 and Section 7.5:</w:t>
      </w:r>
    </w:p>
    <w:p>
      <w:pPr>
        <w:spacing w:after="0" w:line="113" w:lineRule="exact"/>
        <w:rPr>
          <w:rFonts w:ascii="Arial" w:cs="Arial" w:eastAsia="Arial" w:hAnsi="Arial"/>
          <w:sz w:val="18"/>
          <w:szCs w:val="18"/>
          <w:color w:val="auto"/>
        </w:rPr>
      </w:pPr>
    </w:p>
    <w:p>
      <w:pPr>
        <w:ind w:left="460" w:right="520" w:hanging="452"/>
        <w:spacing w:after="0" w:line="277" w:lineRule="auto"/>
        <w:tabs>
          <w:tab w:leader="none" w:pos="4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273" w:right="259" w:bottom="1440" w:gutter="0" w:footer="0" w:header="0"/>
        </w:sectPr>
      </w:pPr>
    </w:p>
    <w:bookmarkStart w:id="371" w:name="page372"/>
    <w:bookmarkEnd w:id="371"/>
    <w:p>
      <w:pPr>
        <w:ind w:left="1472" w:hanging="567"/>
        <w:spacing w:after="0"/>
        <w:tabs>
          <w:tab w:leader="none" w:pos="1472" w:val="left"/>
        </w:tabs>
        <w:numPr>
          <w:ilvl w:val="2"/>
          <w:numId w:val="3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Event” means the final closing of the first Threshold Qualifying Offering occurring after the date of this Agreement.</w:t>
      </w:r>
    </w:p>
    <w:p>
      <w:pPr>
        <w:spacing w:after="0" w:line="142" w:lineRule="exact"/>
        <w:rPr>
          <w:rFonts w:ascii="Arial" w:cs="Arial" w:eastAsia="Arial" w:hAnsi="Arial"/>
          <w:sz w:val="17"/>
          <w:szCs w:val="17"/>
          <w:color w:val="auto"/>
        </w:rPr>
      </w:pPr>
    </w:p>
    <w:p>
      <w:pPr>
        <w:ind w:left="1472" w:right="20" w:hanging="567"/>
        <w:spacing w:after="0" w:line="286" w:lineRule="auto"/>
        <w:tabs>
          <w:tab w:leader="none" w:pos="1472" w:val="left"/>
        </w:tabs>
        <w:numPr>
          <w:ilvl w:val="2"/>
          <w:numId w:val="397"/>
        </w:numPr>
        <w:rPr>
          <w:rFonts w:ascii="Arial" w:cs="Arial" w:eastAsia="Arial" w:hAnsi="Arial"/>
          <w:sz w:val="17"/>
          <w:szCs w:val="17"/>
          <w:color w:val="auto"/>
        </w:rPr>
      </w:pPr>
      <w:r>
        <w:rPr>
          <w:rFonts w:ascii="Arial" w:cs="Arial" w:eastAsia="Arial" w:hAnsi="Arial"/>
          <w:sz w:val="17"/>
          <w:szCs w:val="17"/>
          <w:color w:val="auto"/>
        </w:rPr>
        <w:t>“Board of Directors” means (i) if Forty Seven is organized as a corporation, its board of directors, and (ii) if Forty Seven is organized as a limited liability company, Forty Seven manager(s) or member(s) or both that have the power to direct the principal management and activities of Forty Seven, whether through ownership of voting securities, by agreement, or otherwise.</w:t>
      </w:r>
    </w:p>
    <w:p>
      <w:pPr>
        <w:spacing w:after="0" w:line="70" w:lineRule="exact"/>
        <w:rPr>
          <w:rFonts w:ascii="Arial" w:cs="Arial" w:eastAsia="Arial" w:hAnsi="Arial"/>
          <w:sz w:val="17"/>
          <w:szCs w:val="17"/>
          <w:color w:val="auto"/>
        </w:rPr>
      </w:pPr>
    </w:p>
    <w:p>
      <w:pPr>
        <w:ind w:left="1472" w:right="20" w:hanging="567"/>
        <w:spacing w:after="0" w:line="257" w:lineRule="auto"/>
        <w:tabs>
          <w:tab w:leader="none" w:pos="1472" w:val="left"/>
        </w:tabs>
        <w:numPr>
          <w:ilvl w:val="2"/>
          <w:numId w:val="397"/>
        </w:numPr>
        <w:rPr>
          <w:rFonts w:ascii="Arial" w:cs="Arial" w:eastAsia="Arial" w:hAnsi="Arial"/>
          <w:sz w:val="18"/>
          <w:szCs w:val="18"/>
          <w:color w:val="auto"/>
        </w:rPr>
      </w:pPr>
      <w:r>
        <w:rPr>
          <w:rFonts w:ascii="Arial" w:cs="Arial" w:eastAsia="Arial" w:hAnsi="Arial"/>
          <w:sz w:val="18"/>
          <w:szCs w:val="18"/>
          <w:color w:val="auto"/>
        </w:rPr>
        <w:t>“Qualifying Offering” means a private offering of Forty Seven’s equity securities (or securities convertible into or exercisable for Forty Seven’s equity securities) for cash (or in satisfaction of debt issued for cash) having its final closing on or after the date of this Agreement and which includes investment by one or more venture capital, professional angel, corporate or other similar institutional investors other than Stanford. For the avoidance of doubt, if Forty Seven is a limited liability company, then “equity securities” means limited liability company interests in Forty Seven.</w:t>
      </w:r>
    </w:p>
    <w:p>
      <w:pPr>
        <w:spacing w:after="0" w:line="93" w:lineRule="exact"/>
        <w:rPr>
          <w:rFonts w:ascii="Arial" w:cs="Arial" w:eastAsia="Arial" w:hAnsi="Arial"/>
          <w:sz w:val="18"/>
          <w:szCs w:val="18"/>
          <w:color w:val="auto"/>
        </w:rPr>
      </w:pPr>
    </w:p>
    <w:p>
      <w:pPr>
        <w:ind w:left="1472" w:hanging="567"/>
        <w:spacing w:after="0"/>
        <w:tabs>
          <w:tab w:leader="none" w:pos="1472" w:val="left"/>
        </w:tabs>
        <w:numPr>
          <w:ilvl w:val="2"/>
          <w:numId w:val="397"/>
        </w:numPr>
        <w:rPr>
          <w:rFonts w:ascii="Arial" w:cs="Arial" w:eastAsia="Arial" w:hAnsi="Arial"/>
          <w:sz w:val="18"/>
          <w:szCs w:val="18"/>
          <w:color w:val="auto"/>
        </w:rPr>
      </w:pPr>
      <w:r>
        <w:rPr>
          <w:rFonts w:ascii="Arial" w:cs="Arial" w:eastAsia="Arial" w:hAnsi="Arial"/>
          <w:sz w:val="18"/>
          <w:szCs w:val="18"/>
          <w:color w:val="auto"/>
        </w:rPr>
        <w:t>“Share” means:</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3"/>
          <w:numId w:val="397"/>
        </w:numPr>
        <w:rPr>
          <w:rFonts w:ascii="Arial" w:cs="Arial" w:eastAsia="Arial" w:hAnsi="Arial"/>
          <w:sz w:val="18"/>
          <w:szCs w:val="18"/>
          <w:color w:val="auto"/>
        </w:rPr>
      </w:pPr>
      <w:r>
        <w:rPr>
          <w:rFonts w:ascii="Arial" w:cs="Arial" w:eastAsia="Arial" w:hAnsi="Arial"/>
          <w:sz w:val="18"/>
          <w:szCs w:val="18"/>
          <w:color w:val="auto"/>
        </w:rPr>
        <w:t>[*]% with respect to any Qualifying Offering having a closing on or before the date of an Adjustment Event; or</w:t>
      </w:r>
    </w:p>
    <w:p>
      <w:pPr>
        <w:spacing w:after="0" w:line="130" w:lineRule="exact"/>
        <w:rPr>
          <w:rFonts w:ascii="Arial" w:cs="Arial" w:eastAsia="Arial" w:hAnsi="Arial"/>
          <w:sz w:val="18"/>
          <w:szCs w:val="18"/>
          <w:color w:val="auto"/>
        </w:rPr>
      </w:pPr>
    </w:p>
    <w:p>
      <w:pPr>
        <w:ind w:left="1912" w:hanging="440"/>
        <w:spacing w:after="0" w:line="277" w:lineRule="auto"/>
        <w:tabs>
          <w:tab w:leader="none" w:pos="1912" w:val="left"/>
        </w:tabs>
        <w:numPr>
          <w:ilvl w:val="3"/>
          <w:numId w:val="397"/>
        </w:numPr>
        <w:rPr>
          <w:rFonts w:ascii="Arial" w:cs="Arial" w:eastAsia="Arial" w:hAnsi="Arial"/>
          <w:sz w:val="18"/>
          <w:szCs w:val="18"/>
          <w:color w:val="auto"/>
        </w:rPr>
      </w:pPr>
      <w:r>
        <w:rPr>
          <w:rFonts w:ascii="Arial" w:cs="Arial" w:eastAsia="Arial" w:hAnsi="Arial"/>
          <w:sz w:val="18"/>
          <w:szCs w:val="18"/>
          <w:color w:val="auto"/>
        </w:rPr>
        <w:t>with respect to any Qualifying Offering having a closing after an Adjustment Event, but before a Termination Event, the percentage necessary for Stanford to maintain its pro rata ownership interest in Forty Seven on a Fully-Diluted Basis.</w:t>
      </w:r>
    </w:p>
    <w:p>
      <w:pPr>
        <w:spacing w:after="0" w:line="75" w:lineRule="exact"/>
        <w:rPr>
          <w:rFonts w:ascii="Arial" w:cs="Arial" w:eastAsia="Arial" w:hAnsi="Arial"/>
          <w:sz w:val="18"/>
          <w:szCs w:val="18"/>
          <w:color w:val="auto"/>
        </w:rPr>
      </w:pPr>
    </w:p>
    <w:p>
      <w:pPr>
        <w:ind w:left="1472" w:right="80" w:hanging="567"/>
        <w:spacing w:after="0" w:line="277" w:lineRule="auto"/>
        <w:tabs>
          <w:tab w:leader="none" w:pos="1472" w:val="left"/>
        </w:tabs>
        <w:numPr>
          <w:ilvl w:val="2"/>
          <w:numId w:val="397"/>
        </w:numPr>
        <w:rPr>
          <w:rFonts w:ascii="Arial" w:cs="Arial" w:eastAsia="Arial" w:hAnsi="Arial"/>
          <w:sz w:val="18"/>
          <w:szCs w:val="18"/>
          <w:color w:val="auto"/>
        </w:rPr>
      </w:pPr>
      <w:r>
        <w:rPr>
          <w:rFonts w:ascii="Arial" w:cs="Arial" w:eastAsia="Arial" w:hAnsi="Arial"/>
          <w:sz w:val="18"/>
          <w:szCs w:val="18"/>
          <w:color w:val="auto"/>
        </w:rPr>
        <w:t>“Threshold Qualifying Offering” means any Qualifying Offering which either (i) is at least $[*] in size or (ii) involves the sale to outside investors of at least [*]% of the equity securities outstanding after such round on a Fully-Diluted Basis.</w:t>
      </w:r>
    </w:p>
    <w:p>
      <w:pPr>
        <w:spacing w:after="0" w:line="75" w:lineRule="exact"/>
        <w:rPr>
          <w:rFonts w:ascii="Arial" w:cs="Arial" w:eastAsia="Arial" w:hAnsi="Arial"/>
          <w:sz w:val="18"/>
          <w:szCs w:val="18"/>
          <w:color w:val="auto"/>
        </w:rPr>
      </w:pPr>
    </w:p>
    <w:p>
      <w:pPr>
        <w:ind w:left="1472" w:right="560" w:hanging="567"/>
        <w:spacing w:after="0" w:line="277" w:lineRule="auto"/>
        <w:tabs>
          <w:tab w:leader="none" w:pos="1472" w:val="left"/>
        </w:tabs>
        <w:numPr>
          <w:ilvl w:val="2"/>
          <w:numId w:val="397"/>
        </w:numPr>
        <w:rPr>
          <w:rFonts w:ascii="Arial" w:cs="Arial" w:eastAsia="Arial" w:hAnsi="Arial"/>
          <w:sz w:val="18"/>
          <w:szCs w:val="18"/>
          <w:color w:val="auto"/>
        </w:rPr>
      </w:pPr>
      <w:r>
        <w:rPr>
          <w:rFonts w:ascii="Arial" w:cs="Arial" w:eastAsia="Arial" w:hAnsi="Arial"/>
          <w:sz w:val="18"/>
          <w:szCs w:val="18"/>
          <w:color w:val="auto"/>
        </w:rPr>
        <w:t>The parties shall construe the term “Fully-Diluted Basis” mutatis mutandis in the case where Forty Seven is organized as a limited liability company.</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Purchase Right shall terminate upon the earliest to occur of the following (each a “Termination Event”):</w:t>
      </w:r>
    </w:p>
    <w:p>
      <w:pPr>
        <w:spacing w:after="0" w:line="130" w:lineRule="exact"/>
        <w:rPr>
          <w:rFonts w:ascii="Arial" w:cs="Arial" w:eastAsia="Arial" w:hAnsi="Arial"/>
          <w:sz w:val="18"/>
          <w:szCs w:val="18"/>
          <w:color w:val="auto"/>
        </w:rPr>
      </w:pPr>
    </w:p>
    <w:p>
      <w:pPr>
        <w:ind w:left="1472" w:right="220" w:hanging="567"/>
        <w:spacing w:after="0" w:line="308" w:lineRule="auto"/>
        <w:tabs>
          <w:tab w:leader="none" w:pos="1472" w:val="left"/>
        </w:tabs>
        <w:numPr>
          <w:ilvl w:val="2"/>
          <w:numId w:val="398"/>
        </w:numPr>
        <w:rPr>
          <w:rFonts w:ascii="Arial" w:cs="Arial" w:eastAsia="Arial" w:hAnsi="Arial"/>
          <w:sz w:val="17"/>
          <w:szCs w:val="17"/>
          <w:color w:val="auto"/>
        </w:rPr>
      </w:pPr>
      <w:r>
        <w:rPr>
          <w:rFonts w:ascii="Arial" w:cs="Arial" w:eastAsia="Arial" w:hAnsi="Arial"/>
          <w:sz w:val="17"/>
          <w:szCs w:val="17"/>
          <w:color w:val="auto"/>
        </w:rPr>
        <w:t>Stanford’s execution of an investor rights agreement or similar agreement (each a “Rights Agreement”) in connection with a Threshold Qualifying Offering so long the Rights Agreement satisfies the terms of this Section 7.4 and Section 7.5 below;</w:t>
      </w:r>
    </w:p>
    <w:p>
      <w:pPr>
        <w:spacing w:after="0" w:line="51" w:lineRule="exact"/>
        <w:rPr>
          <w:rFonts w:ascii="Arial" w:cs="Arial" w:eastAsia="Arial" w:hAnsi="Arial"/>
          <w:sz w:val="17"/>
          <w:szCs w:val="17"/>
          <w:color w:val="auto"/>
        </w:rPr>
      </w:pPr>
    </w:p>
    <w:p>
      <w:pPr>
        <w:ind w:left="1472" w:hanging="567"/>
        <w:spacing w:after="0"/>
        <w:tabs>
          <w:tab w:leader="none" w:pos="1472" w:val="left"/>
        </w:tabs>
        <w:numPr>
          <w:ilvl w:val="2"/>
          <w:numId w:val="398"/>
        </w:numPr>
        <w:rPr>
          <w:rFonts w:ascii="Arial" w:cs="Arial" w:eastAsia="Arial" w:hAnsi="Arial"/>
          <w:sz w:val="18"/>
          <w:szCs w:val="18"/>
          <w:color w:val="auto"/>
        </w:rPr>
      </w:pPr>
      <w:r>
        <w:rPr>
          <w:rFonts w:ascii="Arial" w:cs="Arial" w:eastAsia="Arial" w:hAnsi="Arial"/>
          <w:sz w:val="18"/>
          <w:szCs w:val="18"/>
          <w:color w:val="auto"/>
        </w:rPr>
        <w:t>Stanford purchases less than its entire Share of a Qualifying Offering;</w:t>
      </w:r>
    </w:p>
    <w:p>
      <w:pPr>
        <w:spacing w:after="0" w:line="130" w:lineRule="exact"/>
        <w:rPr>
          <w:rFonts w:ascii="Arial" w:cs="Arial" w:eastAsia="Arial" w:hAnsi="Arial"/>
          <w:sz w:val="18"/>
          <w:szCs w:val="18"/>
          <w:color w:val="auto"/>
        </w:rPr>
      </w:pPr>
    </w:p>
    <w:p>
      <w:pPr>
        <w:jc w:val="both"/>
        <w:ind w:left="1472" w:right="140" w:hanging="567"/>
        <w:spacing w:after="0" w:line="264" w:lineRule="auto"/>
        <w:tabs>
          <w:tab w:leader="none" w:pos="1472" w:val="left"/>
        </w:tabs>
        <w:numPr>
          <w:ilvl w:val="2"/>
          <w:numId w:val="398"/>
        </w:numPr>
        <w:rPr>
          <w:rFonts w:ascii="Arial" w:cs="Arial" w:eastAsia="Arial" w:hAnsi="Arial"/>
          <w:sz w:val="18"/>
          <w:szCs w:val="18"/>
          <w:color w:val="auto"/>
        </w:rPr>
      </w:pPr>
      <w:r>
        <w:rPr>
          <w:rFonts w:ascii="Arial" w:cs="Arial" w:eastAsia="Arial" w:hAnsi="Arial"/>
          <w:sz w:val="18"/>
          <w:szCs w:val="18"/>
          <w:color w:val="auto"/>
        </w:rPr>
        <w:t>Stanford fails to give an election notice within the Notice Period for a Qualifying Offering which has its final closing within [*] days of the date such notice is received by Stanford and which is closed on terms that are the same or less favorable to the investors as the terms stated in Forty Seven’s notice to Stanford;</w:t>
      </w:r>
    </w:p>
    <w:p>
      <w:pPr>
        <w:spacing w:after="0" w:line="86" w:lineRule="exact"/>
        <w:rPr>
          <w:rFonts w:ascii="Arial" w:cs="Arial" w:eastAsia="Arial" w:hAnsi="Arial"/>
          <w:sz w:val="18"/>
          <w:szCs w:val="18"/>
          <w:color w:val="auto"/>
        </w:rPr>
      </w:pPr>
    </w:p>
    <w:p>
      <w:pPr>
        <w:ind w:left="1472" w:hanging="567"/>
        <w:spacing w:after="0"/>
        <w:tabs>
          <w:tab w:leader="none" w:pos="1472" w:val="left"/>
        </w:tabs>
        <w:numPr>
          <w:ilvl w:val="2"/>
          <w:numId w:val="398"/>
        </w:numPr>
        <w:rPr>
          <w:rFonts w:ascii="Arial" w:cs="Arial" w:eastAsia="Arial" w:hAnsi="Arial"/>
          <w:sz w:val="18"/>
          <w:szCs w:val="18"/>
          <w:color w:val="auto"/>
        </w:rPr>
      </w:pPr>
      <w:r>
        <w:rPr>
          <w:rFonts w:ascii="Arial" w:cs="Arial" w:eastAsia="Arial" w:hAnsi="Arial"/>
          <w:sz w:val="18"/>
          <w:szCs w:val="18"/>
          <w:color w:val="auto"/>
        </w:rPr>
        <w:t>The closing of a firm commitment underwritten public offering of Forty Seven’s common stock;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52" w:right="540" w:hanging="452"/>
        <w:spacing w:after="0" w:line="277" w:lineRule="auto"/>
        <w:tabs>
          <w:tab w:leader="none" w:pos="45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12"/>
          </w:cols>
          <w:pgMar w:left="248" w:top="273" w:right="239" w:bottom="1440" w:gutter="0" w:footer="0" w:header="0"/>
        </w:sectPr>
      </w:pPr>
    </w:p>
    <w:bookmarkStart w:id="372" w:name="page373"/>
    <w:bookmarkEnd w:id="372"/>
    <w:p>
      <w:pPr>
        <w:ind w:left="1480" w:right="300" w:hanging="567"/>
        <w:spacing w:after="0" w:line="277" w:lineRule="auto"/>
        <w:tabs>
          <w:tab w:leader="none" w:pos="1480" w:val="left"/>
        </w:tabs>
        <w:numPr>
          <w:ilvl w:val="2"/>
          <w:numId w:val="3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closing of the sale of all or substantially all of Forty Seven’s assets to a company publicly traded on one of the major recognized exchanges.</w:t>
      </w:r>
    </w:p>
    <w:p>
      <w:pPr>
        <w:spacing w:after="0" w:line="75" w:lineRule="exact"/>
        <w:rPr>
          <w:rFonts w:ascii="Arial" w:cs="Arial" w:eastAsia="Arial" w:hAnsi="Arial"/>
          <w:sz w:val="18"/>
          <w:szCs w:val="18"/>
          <w:color w:val="auto"/>
        </w:rPr>
      </w:pPr>
    </w:p>
    <w:p>
      <w:pPr>
        <w:ind w:left="900" w:right="220" w:hanging="446"/>
        <w:spacing w:after="0" w:line="291" w:lineRule="auto"/>
        <w:tabs>
          <w:tab w:leader="none" w:pos="90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Purchase Right shall not apply to the issuance of securities: (i) to employees, individuals who are members of Forty Seven’s Board of Directors as of the time of issuance, and service providers to Forty Seven pursuant to a plan approved by Forty Seven’s Board of Directors; or</w:t>
      </w:r>
    </w:p>
    <w:p>
      <w:pPr>
        <w:jc w:val="both"/>
        <w:ind w:left="900" w:right="340" w:hanging="1"/>
        <w:spacing w:after="0" w:line="254" w:lineRule="auto"/>
        <w:tabs>
          <w:tab w:leader="none" w:pos="1165"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as additional consideration in lending or leasing transactions; or (iii) to an entity pursuant to an arrangement that Forty Seven’s Board of Directors determines in good faith is a strategic partnership or similar arrangement of Forty Seven (i.e., an arrangement in which the entity’s purchase of securities is not primarily for the purpose of financing Forty Seven); or (iv) to owners of another entity in connection with the acquisition of that entity by Forty Seven.</w:t>
      </w:r>
    </w:p>
    <w:p>
      <w:pPr>
        <w:spacing w:after="0" w:line="95" w:lineRule="exact"/>
        <w:rPr>
          <w:rFonts w:ascii="Arial" w:cs="Arial" w:eastAsia="Arial" w:hAnsi="Arial"/>
          <w:sz w:val="18"/>
          <w:szCs w:val="18"/>
          <w:color w:val="auto"/>
        </w:rPr>
      </w:pPr>
    </w:p>
    <w:p>
      <w:pPr>
        <w:jc w:val="both"/>
        <w:ind w:left="900" w:right="400" w:hanging="446"/>
        <w:spacing w:after="0" w:line="312" w:lineRule="auto"/>
        <w:tabs>
          <w:tab w:leader="none" w:pos="90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For the avoidance of doubt: (i) any securities Stanford may acquire or have the right to acquire under Section 7.2 or 7.3 shall not reduce the number of securities Stanford may purchase under this Section 7.4 or under any applicable Rights Agreement; and (ii) Stanford shall not be obligated to purchase under this Section 7.4 any Forty Seven securities it has the right to acquire under Section 7.2 or 7.3 above.</w:t>
      </w:r>
    </w:p>
    <w:p>
      <w:pPr>
        <w:spacing w:after="0" w:line="29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color w:val="auto"/>
        </w:rPr>
        <w:t>Rights Agreements; Information Rights; Notice; Elections</w:t>
      </w:r>
      <w:r>
        <w:rPr>
          <w:rFonts w:ascii="Arial" w:cs="Arial" w:eastAsia="Arial" w:hAnsi="Arial"/>
          <w:sz w:val="16"/>
          <w:szCs w:val="16"/>
          <w:color w:val="auto"/>
        </w:rPr>
        <w:t>.</w:t>
      </w:r>
    </w:p>
    <w:p>
      <w:pPr>
        <w:spacing w:after="0" w:line="135" w:lineRule="exact"/>
        <w:rPr>
          <w:sz w:val="20"/>
          <w:szCs w:val="20"/>
          <w:color w:val="auto"/>
        </w:rPr>
      </w:pPr>
    </w:p>
    <w:p>
      <w:pPr>
        <w:ind w:left="900" w:right="180" w:hanging="446"/>
        <w:spacing w:after="0" w:line="257" w:lineRule="auto"/>
        <w:tabs>
          <w:tab w:leader="none" w:pos="90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Forty Seven shall ensure that each Rights Agreement executed by Stanford in connection with a Qualifying Offering will grant to Stanford the same rights as all other investors who are parties to that Rights Agreement. In particular, Forty Seven shall ensure that each such Rights Agreement will grant to Stanford the same right to purchase additional securities in future offerings, the same information rights, and the same registration rights as are granted to other parties thereto, including all such rights granted to any investor designated as a “Major Investor” or other similar designation, even if Stanford is not so designated.</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Notwithstanding any terms to the contrary contained in any applicable Rights Agreement: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1"/>
        </w:numPr>
        <w:rPr>
          <w:rFonts w:ascii="Arial" w:cs="Arial" w:eastAsia="Arial" w:hAnsi="Arial"/>
          <w:sz w:val="18"/>
          <w:szCs w:val="18"/>
          <w:color w:val="auto"/>
        </w:rPr>
      </w:pPr>
      <w:r>
        <w:rPr>
          <w:rFonts w:ascii="Arial" w:cs="Arial" w:eastAsia="Arial" w:hAnsi="Arial"/>
          <w:sz w:val="18"/>
          <w:szCs w:val="18"/>
          <w:color w:val="auto"/>
        </w:rPr>
        <w:t>Stanford shall not have any representation on the Board of Directors or rights to attend meetings of the Board of Directors;</w:t>
      </w:r>
    </w:p>
    <w:p>
      <w:pPr>
        <w:spacing w:after="0" w:line="130" w:lineRule="exact"/>
        <w:rPr>
          <w:rFonts w:ascii="Arial" w:cs="Arial" w:eastAsia="Arial" w:hAnsi="Arial"/>
          <w:sz w:val="18"/>
          <w:szCs w:val="18"/>
          <w:color w:val="auto"/>
        </w:rPr>
      </w:pPr>
    </w:p>
    <w:p>
      <w:pPr>
        <w:ind w:left="1480" w:right="80" w:hanging="567"/>
        <w:spacing w:after="0" w:line="255" w:lineRule="auto"/>
        <w:tabs>
          <w:tab w:leader="none" w:pos="1480" w:val="left"/>
        </w:tabs>
        <w:numPr>
          <w:ilvl w:val="2"/>
          <w:numId w:val="401"/>
        </w:numPr>
        <w:rPr>
          <w:rFonts w:ascii="Arial" w:cs="Arial" w:eastAsia="Arial" w:hAnsi="Arial"/>
          <w:sz w:val="18"/>
          <w:szCs w:val="18"/>
          <w:color w:val="auto"/>
        </w:rPr>
      </w:pPr>
      <w:r>
        <w:rPr>
          <w:rFonts w:ascii="Arial" w:cs="Arial" w:eastAsia="Arial" w:hAnsi="Arial"/>
          <w:sz w:val="18"/>
          <w:szCs w:val="18"/>
          <w:color w:val="auto"/>
        </w:rPr>
        <w:t>In connection with all Qualifying Offerings, Forty Seven shall give Stanford notice of the terms of the offering, including: (i) the names of the investors, the allocation of equity securities among them and the total amounts to be invested by each of them in such offering; (ii) pre- and post- (projected) financing capitalization table; (iii) investor presentation (if available); (iv) an introduction to the lead investor in such offering for the purpose of discussing the lead investor’s due diligence process; and (v) such other documents and information as Stanford may reasonably request for the purpose of making an investment decision or verifying the amount of equity securities it is entitled to purchase in such offering; and</w:t>
      </w:r>
    </w:p>
    <w:p>
      <w:pPr>
        <w:spacing w:after="0" w:line="98" w:lineRule="exact"/>
        <w:rPr>
          <w:rFonts w:ascii="Arial" w:cs="Arial" w:eastAsia="Arial" w:hAnsi="Arial"/>
          <w:sz w:val="18"/>
          <w:szCs w:val="18"/>
          <w:color w:val="auto"/>
        </w:rPr>
      </w:pPr>
    </w:p>
    <w:p>
      <w:pPr>
        <w:ind w:left="1480" w:hanging="567"/>
        <w:spacing w:after="0" w:line="264" w:lineRule="auto"/>
        <w:tabs>
          <w:tab w:leader="none" w:pos="1480" w:val="left"/>
        </w:tabs>
        <w:numPr>
          <w:ilvl w:val="2"/>
          <w:numId w:val="401"/>
        </w:numPr>
        <w:rPr>
          <w:rFonts w:ascii="Arial" w:cs="Arial" w:eastAsia="Arial" w:hAnsi="Arial"/>
          <w:sz w:val="18"/>
          <w:szCs w:val="18"/>
          <w:color w:val="auto"/>
        </w:rPr>
      </w:pPr>
      <w:r>
        <w:rPr>
          <w:rFonts w:ascii="Arial" w:cs="Arial" w:eastAsia="Arial" w:hAnsi="Arial"/>
          <w:sz w:val="18"/>
          <w:szCs w:val="18"/>
          <w:color w:val="auto"/>
        </w:rPr>
        <w:t>Stanford may elect to exercise its Purchase Right, in whole or in part, by notice given to Forty Seven within 15 Stanford business days (i.e., days other than Saturdays, Sundays, and holidays or other days on which Stanford is officially closed) after receipt of Forty Seven’s notice (“Notice Period”).</w:t>
      </w:r>
    </w:p>
    <w:p>
      <w:pPr>
        <w:spacing w:after="0" w:line="86" w:lineRule="exact"/>
        <w:rPr>
          <w:rFonts w:ascii="Arial" w:cs="Arial" w:eastAsia="Arial" w:hAnsi="Arial"/>
          <w:sz w:val="18"/>
          <w:szCs w:val="18"/>
          <w:color w:val="auto"/>
        </w:rPr>
      </w:pPr>
    </w:p>
    <w:p>
      <w:pPr>
        <w:ind w:left="900" w:right="280" w:hanging="446"/>
        <w:spacing w:after="0" w:line="264" w:lineRule="auto"/>
        <w:tabs>
          <w:tab w:leader="none" w:pos="90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If Stanford has no information rights under a Rights Agreement and to the extent that such information has been prepared by Forty Seven for other purposes, so long as Stanford holds Forty Seven securities, Forty Seven shall furnish to Stanford, upon request and as promptly as reasonably practicable, Forty Seven’s annual consolidated</w:t>
      </w:r>
    </w:p>
    <w:p>
      <w:pPr>
        <w:spacing w:after="0" w:line="356"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40"/>
          </w:cols>
          <w:pgMar w:left="240" w:top="274" w:right="319" w:bottom="1440" w:gutter="0" w:footer="0" w:header="0"/>
        </w:sectPr>
      </w:pPr>
    </w:p>
    <w:bookmarkStart w:id="373" w:name="page374"/>
    <w:bookmarkEnd w:id="373"/>
    <w:p>
      <w:pPr>
        <w:ind w:left="92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statements and annual operating plan, including an annual report of the holders of Forty Seven’s securities, and such other information as Stanford may reasonably request from time to time for the purpose of valuing its interest in Forty Seven.</w:t>
      </w:r>
    </w:p>
    <w:p>
      <w:pPr>
        <w:spacing w:after="0" w:line="76" w:lineRule="exact"/>
        <w:rPr>
          <w:sz w:val="20"/>
          <w:szCs w:val="20"/>
          <w:color w:val="auto"/>
        </w:rPr>
      </w:pPr>
    </w:p>
    <w:p>
      <w:pPr>
        <w:ind w:left="900" w:right="60" w:hanging="446"/>
        <w:spacing w:after="0" w:line="264" w:lineRule="auto"/>
        <w:tabs>
          <w:tab w:leader="none" w:pos="9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Notwithstanding any notice provision in this Agreement to the contrary, any notice given under this Agreement that refers or relates to any of Section 7.4 above or this Section 7.5 shall be copied concurrently to pvfnotices@stanford.edu; provided, however, that delivery of the copy will not by itself constitute notice for any purpose under this Agreement.</w:t>
      </w:r>
    </w:p>
    <w:p>
      <w:pPr>
        <w:spacing w:after="0" w:line="326" w:lineRule="exact"/>
        <w:rPr>
          <w:sz w:val="20"/>
          <w:szCs w:val="20"/>
          <w:color w:val="auto"/>
        </w:rPr>
      </w:pPr>
    </w:p>
    <w:p>
      <w:pPr>
        <w:ind w:left="460" w:hanging="445"/>
        <w:spacing w:after="0" w:line="266" w:lineRule="auto"/>
        <w:tabs>
          <w:tab w:leader="none" w:pos="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b w:val="1"/>
          <w:bCs w:val="1"/>
          <w:color w:val="auto"/>
        </w:rPr>
        <w:t>License Maintenance Fee</w:t>
      </w:r>
      <w:r>
        <w:rPr>
          <w:rFonts w:ascii="Arial" w:cs="Arial" w:eastAsia="Arial" w:hAnsi="Arial"/>
          <w:sz w:val="18"/>
          <w:szCs w:val="18"/>
          <w:color w:val="auto"/>
        </w:rPr>
        <w:t>. Beginning on the first anniversary of the Effective Date and each anniversary thereafter, Forty Seven will pay Stanford a</w:t>
      </w:r>
      <w:r>
        <w:rPr>
          <w:rFonts w:ascii="Arial" w:cs="Arial" w:eastAsia="Arial" w:hAnsi="Arial"/>
          <w:sz w:val="18"/>
          <w:szCs w:val="18"/>
          <w:b w:val="1"/>
          <w:bCs w:val="1"/>
          <w:color w:val="auto"/>
        </w:rPr>
        <w:t xml:space="preserve"> </w:t>
      </w:r>
      <w:r>
        <w:rPr>
          <w:rFonts w:ascii="Arial" w:cs="Arial" w:eastAsia="Arial" w:hAnsi="Arial"/>
          <w:sz w:val="18"/>
          <w:szCs w:val="18"/>
          <w:color w:val="auto"/>
        </w:rPr>
        <w:t>yearly license maintenance fee as set forth in this Section 7.6 below. Yearly maintenance payments are nonrefundable, but they are creditable each year as described in Section 7.13.</w:t>
      </w:r>
    </w:p>
    <w:p>
      <w:pPr>
        <w:spacing w:after="0" w:line="86" w:lineRule="exact"/>
        <w:rPr>
          <w:sz w:val="20"/>
          <w:szCs w:val="20"/>
          <w:color w:val="auto"/>
        </w:rPr>
      </w:pPr>
    </w:p>
    <w:p>
      <w:pPr>
        <w:ind w:left="900" w:hanging="446"/>
        <w:spacing w:after="0"/>
        <w:tabs>
          <w:tab w:leader="none" w:pos="9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$20,000 on the [*] anniversary of the Effective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on the [*] anniversary of the Effective Date;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$70,000 on each anniversary of the Effective Date thereafter, until the expiration of the last Valid Claim included in the Licensed Patents.</w:t>
      </w:r>
    </w:p>
    <w:p>
      <w:pPr>
        <w:spacing w:after="0" w:line="3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b w:val="1"/>
          <w:bCs w:val="1"/>
          <w:color w:val="auto"/>
        </w:rPr>
        <w:t>Milestone Payments</w:t>
      </w:r>
      <w:r>
        <w:rPr>
          <w:rFonts w:ascii="Arial" w:cs="Arial" w:eastAsia="Arial" w:hAnsi="Arial"/>
          <w:sz w:val="16"/>
          <w:szCs w:val="16"/>
          <w:color w:val="auto"/>
        </w:rPr>
        <w:t>. Forty Seven will pay Stanford the following milestone payments:</w:t>
      </w:r>
    </w:p>
    <w:p>
      <w:pPr>
        <w:spacing w:after="0" w:line="135" w:lineRule="exact"/>
        <w:rPr>
          <w:sz w:val="20"/>
          <w:szCs w:val="20"/>
          <w:color w:val="auto"/>
        </w:rPr>
      </w:pPr>
    </w:p>
    <w:p>
      <w:pPr>
        <w:ind w:left="900" w:hanging="446"/>
        <w:spacing w:after="0"/>
        <w:tabs>
          <w:tab w:leader="none" w:pos="90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Due one time on the first Licensed Product to achieve the milestones set forth in this Section 7.7(A) below: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$75,000 upon initiation of Phase II clinical trial with FDA or equivalent in foreign jurisdiction, whichever one occurs first;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Due one time on the second Licensed Product to achieve the milestones set forth in this Section 7.7(B) below: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Due one time on the third Licensed Product to achieve the milestones set forth in this Section 7.7(C) below: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 upon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40"/>
          </w:cols>
          <w:pgMar w:left="240" w:top="274" w:right="319" w:bottom="1440" w:gutter="0" w:footer="0" w:header="0"/>
        </w:sectPr>
      </w:pPr>
    </w:p>
    <w:bookmarkStart w:id="374" w:name="page375"/>
    <w:bookmarkEnd w:id="374"/>
    <w:p>
      <w:pPr>
        <w:ind w:left="1480" w:hanging="567"/>
        <w:spacing w:after="0"/>
        <w:tabs>
          <w:tab w:leader="none" w:pos="14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upon [*].</w:t>
      </w:r>
    </w:p>
    <w:p>
      <w:pPr>
        <w:spacing w:after="0" w:line="117"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Notwithstanding anything to the contrary in this Agreement, [*], as set forth in this Section 7.7 above, shall be payable only one time, upon [*]; provided, however, that if [*] then the milestone payment will be [*].</w:t>
      </w:r>
    </w:p>
    <w:p>
      <w:pPr>
        <w:spacing w:after="0" w:line="62" w:lineRule="exact"/>
        <w:rPr>
          <w:sz w:val="20"/>
          <w:szCs w:val="20"/>
          <w:color w:val="auto"/>
        </w:rPr>
      </w:pPr>
    </w:p>
    <w:p>
      <w:pPr>
        <w:jc w:val="both"/>
        <w:ind w:left="460"/>
        <w:spacing w:after="0" w:line="342" w:lineRule="auto"/>
        <w:rPr>
          <w:sz w:val="20"/>
          <w:szCs w:val="20"/>
          <w:color w:val="auto"/>
        </w:rPr>
      </w:pPr>
      <w:r>
        <w:rPr>
          <w:rFonts w:ascii="Arial" w:cs="Arial" w:eastAsia="Arial" w:hAnsi="Arial"/>
          <w:sz w:val="16"/>
          <w:szCs w:val="16"/>
          <w:color w:val="auto"/>
        </w:rPr>
        <w:t>It is further understood that in the event Forty Seven receives a milestone payment from a sublicensee and the milestone event giving rise to such payment would also trigger a payment obligation on the part of Forty Seven under this Section 7.7, Forty Seven shall [*], which shall [*], and [*].</w:t>
      </w:r>
    </w:p>
    <w:p>
      <w:pPr>
        <w:spacing w:after="0" w:line="2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b w:val="1"/>
          <w:bCs w:val="1"/>
          <w:color w:val="auto"/>
        </w:rPr>
        <w:t>Earned Royalty</w:t>
      </w:r>
      <w:r>
        <w:rPr>
          <w:rFonts w:ascii="Arial" w:cs="Arial" w:eastAsia="Arial" w:hAnsi="Arial"/>
          <w:sz w:val="16"/>
          <w:szCs w:val="16"/>
          <w:color w:val="auto"/>
        </w:rPr>
        <w:t>.</w:t>
      </w:r>
    </w:p>
    <w:p>
      <w:pPr>
        <w:spacing w:after="0" w:line="135" w:lineRule="exact"/>
        <w:rPr>
          <w:sz w:val="20"/>
          <w:szCs w:val="20"/>
          <w:color w:val="auto"/>
        </w:rPr>
      </w:pPr>
    </w:p>
    <w:p>
      <w:pPr>
        <w:ind w:left="900" w:hanging="446"/>
        <w:spacing w:after="0"/>
        <w:tabs>
          <w:tab w:leader="none" w:pos="9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Forty Seven will pay Stanford earned royalties on annual Net Sales of Hu5F9 Licensed Product as follows:</w:t>
      </w:r>
    </w:p>
    <w:p>
      <w:pPr>
        <w:spacing w:after="0" w:line="248" w:lineRule="exact"/>
        <w:rPr>
          <w:sz w:val="20"/>
          <w:szCs w:val="20"/>
          <w:color w:val="auto"/>
        </w:rPr>
      </w:pPr>
    </w:p>
    <w:tbl>
      <w:tblPr>
        <w:tblLayout w:type="fixed"/>
        <w:tblInd w:w="3720" w:type="dxa"/>
        <w:tblCellMar>
          <w:top w:w="0" w:type="dxa"/>
          <w:left w:w="0" w:type="dxa"/>
          <w:bottom w:w="0" w:type="dxa"/>
          <w:right w:w="0" w:type="dxa"/>
        </w:tblCellMar>
      </w:tblPr>
      <w:tr>
        <w:trPr>
          <w:trHeight w:val="181"/>
        </w:trPr>
        <w:tc>
          <w:tcPr>
            <w:tcW w:w="4400" w:type="dxa"/>
            <w:vAlign w:val="bottom"/>
            <w:gridSpan w:val="3"/>
          </w:tcPr>
          <w:p>
            <w:pPr>
              <w:jc w:val="center"/>
              <w:ind w:right="2200"/>
              <w:spacing w:after="0"/>
              <w:rPr>
                <w:sz w:val="20"/>
                <w:szCs w:val="20"/>
                <w:color w:val="auto"/>
              </w:rPr>
            </w:pPr>
            <w:r>
              <w:rPr>
                <w:rFonts w:ascii="Arial" w:cs="Arial" w:eastAsia="Arial" w:hAnsi="Arial"/>
                <w:sz w:val="14"/>
                <w:szCs w:val="14"/>
                <w:color w:val="auto"/>
                <w:w w:val="93"/>
              </w:rPr>
              <w:t>Annual Net Sales of Licensed Product</w:t>
            </w:r>
          </w:p>
        </w:tc>
        <w:tc>
          <w:tcPr>
            <w:tcW w:w="1480" w:type="dxa"/>
            <w:vAlign w:val="bottom"/>
          </w:tcPr>
          <w:p>
            <w:pPr>
              <w:jc w:val="center"/>
              <w:spacing w:after="0"/>
              <w:rPr>
                <w:sz w:val="20"/>
                <w:szCs w:val="20"/>
                <w:color w:val="auto"/>
              </w:rPr>
            </w:pPr>
            <w:r>
              <w:rPr>
                <w:rFonts w:ascii="Arial" w:cs="Arial" w:eastAsia="Arial" w:hAnsi="Arial"/>
                <w:sz w:val="14"/>
                <w:szCs w:val="14"/>
                <w:color w:val="auto"/>
                <w:w w:val="94"/>
              </w:rPr>
              <w:t>Royalty Rate</w:t>
            </w:r>
          </w:p>
        </w:tc>
      </w:tr>
      <w:tr>
        <w:trPr>
          <w:trHeight w:val="195"/>
        </w:trPr>
        <w:tc>
          <w:tcPr>
            <w:tcW w:w="20" w:type="dxa"/>
            <w:vAlign w:val="bottom"/>
          </w:tcPr>
          <w:p>
            <w:pPr>
              <w:spacing w:after="0"/>
              <w:rPr>
                <w:sz w:val="16"/>
                <w:szCs w:val="16"/>
                <w:color w:val="auto"/>
              </w:rPr>
            </w:pPr>
          </w:p>
        </w:tc>
        <w:tc>
          <w:tcPr>
            <w:tcW w:w="2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220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2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80" w:type="dxa"/>
            <w:vAlign w:val="bottom"/>
            <w:gridSpan w:val="2"/>
          </w:tcPr>
          <w:p>
            <w:pPr>
              <w:jc w:val="center"/>
              <w:ind w:right="2220"/>
              <w:spacing w:after="0"/>
              <w:rPr>
                <w:sz w:val="20"/>
                <w:szCs w:val="20"/>
                <w:color w:val="auto"/>
              </w:rPr>
            </w:pPr>
            <w:r>
              <w:rPr>
                <w:rFonts w:ascii="Arial" w:cs="Arial" w:eastAsia="Arial" w:hAnsi="Arial"/>
                <w:sz w:val="18"/>
                <w:szCs w:val="18"/>
                <w:color w:val="auto"/>
                <w:w w:val="98"/>
              </w:rPr>
              <w:t>&gt;$3 billion</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900" w:hanging="446"/>
        <w:spacing w:after="0"/>
        <w:tabs>
          <w:tab w:leader="none" w:pos="9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Forty Seven will pay Stanford earned royalties on annual Net Sales of Other Licensed Product as follows:</w:t>
      </w:r>
    </w:p>
    <w:p>
      <w:pPr>
        <w:spacing w:after="0" w:line="248" w:lineRule="exact"/>
        <w:rPr>
          <w:sz w:val="20"/>
          <w:szCs w:val="20"/>
          <w:color w:val="auto"/>
        </w:rPr>
      </w:pPr>
    </w:p>
    <w:tbl>
      <w:tblPr>
        <w:tblLayout w:type="fixed"/>
        <w:tblInd w:w="3720" w:type="dxa"/>
        <w:tblCellMar>
          <w:top w:w="0" w:type="dxa"/>
          <w:left w:w="0" w:type="dxa"/>
          <w:bottom w:w="0" w:type="dxa"/>
          <w:right w:w="0" w:type="dxa"/>
        </w:tblCellMar>
      </w:tblPr>
      <w:tr>
        <w:trPr>
          <w:trHeight w:val="181"/>
        </w:trPr>
        <w:tc>
          <w:tcPr>
            <w:tcW w:w="4400" w:type="dxa"/>
            <w:vAlign w:val="bottom"/>
            <w:gridSpan w:val="3"/>
          </w:tcPr>
          <w:p>
            <w:pPr>
              <w:jc w:val="center"/>
              <w:ind w:right="2200"/>
              <w:spacing w:after="0"/>
              <w:rPr>
                <w:sz w:val="20"/>
                <w:szCs w:val="20"/>
                <w:color w:val="auto"/>
              </w:rPr>
            </w:pPr>
            <w:r>
              <w:rPr>
                <w:rFonts w:ascii="Arial" w:cs="Arial" w:eastAsia="Arial" w:hAnsi="Arial"/>
                <w:sz w:val="14"/>
                <w:szCs w:val="14"/>
                <w:color w:val="auto"/>
                <w:w w:val="93"/>
              </w:rPr>
              <w:t>Annual Net Sales of Licensed Product</w:t>
            </w:r>
          </w:p>
        </w:tc>
        <w:tc>
          <w:tcPr>
            <w:tcW w:w="1480" w:type="dxa"/>
            <w:vAlign w:val="bottom"/>
          </w:tcPr>
          <w:p>
            <w:pPr>
              <w:jc w:val="center"/>
              <w:spacing w:after="0"/>
              <w:rPr>
                <w:sz w:val="20"/>
                <w:szCs w:val="20"/>
                <w:color w:val="auto"/>
              </w:rPr>
            </w:pPr>
            <w:r>
              <w:rPr>
                <w:rFonts w:ascii="Arial" w:cs="Arial" w:eastAsia="Arial" w:hAnsi="Arial"/>
                <w:sz w:val="14"/>
                <w:szCs w:val="14"/>
                <w:color w:val="auto"/>
                <w:w w:val="94"/>
              </w:rPr>
              <w:t>Royalty Rate</w:t>
            </w:r>
          </w:p>
        </w:tc>
      </w:tr>
      <w:tr>
        <w:trPr>
          <w:trHeight w:val="195"/>
        </w:trPr>
        <w:tc>
          <w:tcPr>
            <w:tcW w:w="20" w:type="dxa"/>
            <w:vAlign w:val="bottom"/>
          </w:tcPr>
          <w:p>
            <w:pPr>
              <w:spacing w:after="0"/>
              <w:rPr>
                <w:sz w:val="16"/>
                <w:szCs w:val="16"/>
                <w:color w:val="auto"/>
              </w:rPr>
            </w:pPr>
          </w:p>
        </w:tc>
        <w:tc>
          <w:tcPr>
            <w:tcW w:w="2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220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2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460" w:right="100" w:hanging="452"/>
        <w:spacing w:after="0" w:line="277" w:lineRule="auto"/>
        <w:tabs>
          <w:tab w:leader="none" w:pos="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980"/>
          </w:cols>
          <w:pgMar w:left="240" w:top="274" w:right="679" w:bottom="1440" w:gutter="0" w:footer="0" w:header="0"/>
        </w:sectPr>
      </w:pPr>
    </w:p>
    <w:bookmarkStart w:id="375" w:name="page376"/>
    <w:bookmarkEnd w:id="375"/>
    <w:p>
      <w:pPr>
        <w:ind w:left="900" w:hanging="446"/>
        <w:spacing w:after="0" w:line="255" w:lineRule="auto"/>
        <w:tabs>
          <w:tab w:leader="none" w:pos="9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Forty Seven is required to pay any amounts with respect to any Licensed Product under agreements for patent rights or other technologies which Forty Seven or its affiliate, in its reasonable judgment, determines are desirable to license or acquire (including for the method of use or manufacture thereof), Forty Seven may deduct up to [*] of the amounts actually paid on Net Sales with respect to such Licensed Product from the royalty payments due Stanford with respect to such Licensed Product. Notwithstanding the foregoing provisions of this Section 7.8(C), in no event shall the royalties due to Stanford pursuant to Section 7.8 be so reduced to less than fifty percent (50%) of the amount that would otherwise be due to Stanford hereunder.</w:t>
      </w:r>
    </w:p>
    <w:p>
      <w:pPr>
        <w:spacing w:after="0" w:line="95" w:lineRule="exact"/>
        <w:rPr>
          <w:sz w:val="20"/>
          <w:szCs w:val="20"/>
          <w:color w:val="auto"/>
        </w:rPr>
      </w:pPr>
    </w:p>
    <w:p>
      <w:pPr>
        <w:ind w:left="460" w:right="40" w:hanging="445"/>
        <w:spacing w:after="0" w:line="272" w:lineRule="auto"/>
        <w:tabs>
          <w:tab w:leader="none" w:pos="4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7"/>
          <w:szCs w:val="17"/>
          <w:b w:val="1"/>
          <w:bCs w:val="1"/>
          <w:color w:val="auto"/>
        </w:rPr>
        <w:t>Combination Product</w:t>
      </w:r>
      <w:r>
        <w:rPr>
          <w:rFonts w:ascii="Arial" w:cs="Arial" w:eastAsia="Arial" w:hAnsi="Arial"/>
          <w:sz w:val="17"/>
          <w:szCs w:val="17"/>
          <w:color w:val="auto"/>
        </w:rPr>
        <w:t>. In the event that a Licensed Product is sold in combination with another product, component or service for which no royalty</w:t>
      </w:r>
      <w:r>
        <w:rPr>
          <w:rFonts w:ascii="Arial" w:cs="Arial" w:eastAsia="Arial" w:hAnsi="Arial"/>
          <w:sz w:val="17"/>
          <w:szCs w:val="17"/>
          <w:b w:val="1"/>
          <w:bCs w:val="1"/>
          <w:color w:val="auto"/>
        </w:rPr>
        <w:t xml:space="preserve"> </w:t>
      </w:r>
      <w:r>
        <w:rPr>
          <w:rFonts w:ascii="Arial" w:cs="Arial" w:eastAsia="Arial" w:hAnsi="Arial"/>
          <w:sz w:val="17"/>
          <w:szCs w:val="17"/>
          <w:color w:val="auto"/>
        </w:rPr>
        <w:t>would be due hereunder if sold separately, Net Sales from such combination sales for purposes of calculating the amounts due under this Article 7 shall be calculated by multiplying the Net Sales of the combination product or service by the fraction A/(A + B), where A is the average gross selling price during the preceding calendar quarter of the Licensed Product sold separately and B is the average gross selling price during the preceding calendar quarter of the other product(s), component(s) or service(s). In the event that separate sales of the Licensed Product and/or of the other product(s), component(s) or service(s) were not made during the preceding calendar quarter, then the Net Sales on the combination product shall be reasonably allocated between such Licensed Product, and such other product(s), component(s) or service(s) based upon their relative importance and proprietary protection as mutually agreed upon by Stanford and Forty Seven.</w:t>
      </w:r>
    </w:p>
    <w:p>
      <w:pPr>
        <w:spacing w:after="0" w:line="78" w:lineRule="exact"/>
        <w:rPr>
          <w:sz w:val="20"/>
          <w:szCs w:val="20"/>
          <w:color w:val="auto"/>
        </w:rPr>
      </w:pPr>
    </w:p>
    <w:p>
      <w:pPr>
        <w:ind w:left="460" w:right="220" w:hanging="445"/>
        <w:spacing w:after="0" w:line="258"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b w:val="1"/>
          <w:bCs w:val="1"/>
          <w:color w:val="auto"/>
        </w:rPr>
        <w:t>Generic Competition</w:t>
      </w:r>
      <w:r>
        <w:rPr>
          <w:rFonts w:ascii="Arial" w:cs="Arial" w:eastAsia="Arial" w:hAnsi="Arial"/>
          <w:sz w:val="18"/>
          <w:szCs w:val="18"/>
          <w:color w:val="auto"/>
        </w:rPr>
        <w:t>. In any country where Generic Competition exists, as long as such Generic Competition exists in such country, the royalty otherwise due under Section 7.8 above with respect to Net Sales of the corresponding Licensed Product in such country shall be reduced by [*]. For purposes of this Agreement, “Generic Competition” means that a product is being sold by a third party in such country and such product [*]. Notwithstanding the foregoing provisions of this Section 7.10, in no event shall the royalties due to Stanford pursuant to Section 7.8 be so reduced to less than [*] of the amount that would otherwise be due to Stanford hereunder.</w:t>
      </w:r>
    </w:p>
    <w:p>
      <w:pPr>
        <w:spacing w:after="0" w:line="89" w:lineRule="exact"/>
        <w:rPr>
          <w:sz w:val="20"/>
          <w:szCs w:val="20"/>
          <w:color w:val="auto"/>
        </w:rPr>
      </w:pPr>
    </w:p>
    <w:p>
      <w:pPr>
        <w:ind w:left="460" w:hanging="445"/>
        <w:spacing w:after="0" w:line="292"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b w:val="1"/>
          <w:bCs w:val="1"/>
          <w:color w:val="auto"/>
        </w:rPr>
        <w:t>Single Royalty</w:t>
      </w:r>
      <w:r>
        <w:rPr>
          <w:rFonts w:ascii="Arial" w:cs="Arial" w:eastAsia="Arial" w:hAnsi="Arial"/>
          <w:sz w:val="16"/>
          <w:szCs w:val="16"/>
          <w:color w:val="auto"/>
        </w:rPr>
        <w:t>. No more than one royalty payment under this Agreement shall be due to Stanford with respect to a sale of a particular Licensed Product (e.g., even if such Licensed Product is covered by multiple Valid Claims and Licensed Information). Multiple royalties shall not be payable because any Licensed Product, or its manufacture, sale or use, is covered by more than one claim within the Licensed Patents. No royalty shall be payable under Section 7.8 with respect to sales or other transfers of Licensed Products among Forty Seven, its Affiliates and sublicensees for resale (but the subsequent resale of such Licensed Product shall be included within the computation of Net Sales), nor shall a royalty be payable under Section 7.8 with respect to any Licensed Products transferred (for no more than the cost of the Licensed Product) for use in research and/or development, clinical trials, compassionate use programs, as donations to non-profit institutions or government agencies, as promotional free samples or the like.</w:t>
      </w:r>
    </w:p>
    <w:p>
      <w:pPr>
        <w:spacing w:after="0" w:line="67" w:lineRule="exact"/>
        <w:rPr>
          <w:sz w:val="20"/>
          <w:szCs w:val="20"/>
          <w:color w:val="auto"/>
        </w:rPr>
      </w:pPr>
    </w:p>
    <w:p>
      <w:pPr>
        <w:ind w:left="460" w:right="240" w:hanging="445"/>
        <w:spacing w:after="0" w:line="274"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b w:val="1"/>
          <w:bCs w:val="1"/>
          <w:color w:val="auto"/>
        </w:rPr>
        <w:t>Earned Royalty if Forty Seven Challenges the Patent</w:t>
      </w:r>
      <w:r>
        <w:rPr>
          <w:rFonts w:ascii="Arial" w:cs="Arial" w:eastAsia="Arial" w:hAnsi="Arial"/>
          <w:sz w:val="17"/>
          <w:szCs w:val="17"/>
          <w:color w:val="auto"/>
        </w:rPr>
        <w:t>. Notwithstanding the above, should Forty Seven bring an action seeking to invalidate any Licensed Patent, Forty Seven will pay royalties to Stanford [*] during the pendency of such action. Moreover, should the outcome of such action determine that any claim of a patent challenged by Forty Seven is both valid and infringed by a Licensed Product, Forty Seven will pay royalties [*]. Notwithstanding the foregoing, in the event Forty Seven files a counterclaim asserting invalidity of one or more Licensed Patents in response to an actual infringement suit directed to the Licensed Patents by Stanford, Forty Seven shall not be deemed to have initiated an action to invalidate a Licensed Patent and this Section 7.12 shall not apply. For the purposes of this Section 7.12, [*].</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b w:val="1"/>
          <w:bCs w:val="1"/>
          <w:color w:val="auto"/>
        </w:rPr>
        <w:t>Creditable Payments</w:t>
      </w:r>
      <w:r>
        <w:rPr>
          <w:rFonts w:ascii="Arial" w:cs="Arial" w:eastAsia="Arial" w:hAnsi="Arial"/>
          <w:sz w:val="16"/>
          <w:szCs w:val="16"/>
          <w:color w:val="auto"/>
        </w:rPr>
        <w:t>. The license maintenance fee for a year may be offset against earned royalty payments due on Net Sales occurring in that year.</w:t>
      </w:r>
    </w:p>
    <w:p>
      <w:pPr>
        <w:spacing w:after="0" w:line="200" w:lineRule="exact"/>
        <w:rPr>
          <w:sz w:val="20"/>
          <w:szCs w:val="20"/>
          <w:color w:val="auto"/>
        </w:rPr>
      </w:pPr>
    </w:p>
    <w:p>
      <w:pPr>
        <w:spacing w:after="0" w:line="228" w:lineRule="exact"/>
        <w:rPr>
          <w:sz w:val="20"/>
          <w:szCs w:val="20"/>
          <w:color w:val="auto"/>
        </w:rPr>
      </w:pPr>
    </w:p>
    <w:p>
      <w:pPr>
        <w:ind w:left="460" w:right="520" w:hanging="452"/>
        <w:spacing w:after="0" w:line="277" w:lineRule="auto"/>
        <w:tabs>
          <w:tab w:leader="none" w:pos="4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273" w:right="259" w:bottom="1440" w:gutter="0" w:footer="0" w:header="0"/>
        </w:sectPr>
      </w:pPr>
    </w:p>
    <w:bookmarkStart w:id="376" w:name="page377"/>
    <w:bookmarkEnd w:id="3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example:</w:t>
      </w:r>
    </w:p>
    <w:p>
      <w:pPr>
        <w:spacing w:after="0" w:line="131" w:lineRule="exact"/>
        <w:rPr>
          <w:sz w:val="20"/>
          <w:szCs w:val="20"/>
          <w:color w:val="auto"/>
        </w:rPr>
      </w:pPr>
    </w:p>
    <w:p>
      <w:pPr>
        <w:ind w:left="900" w:hanging="446"/>
        <w:spacing w:after="0" w:line="277" w:lineRule="auto"/>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if Forty Seven pays Stanford a $10 maintenance payment for year Y, and according to Section 7.8 $15 in earned royalties are due Stanford for Net Sales in year Y, Forty Seven will only need to pay Stanford an additional $5 for that year’s earned royalties.</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if Forty Seven pays Stanford a $10 maintenance payment for year Y, and according to Section 7.8 $3 in earned royalties are due Stanford for Net Sales in year Y, Forty Seven will not need to pay Stanford any earned royalty payment for that year. Forty Seven will not be able to offset the remaining $7 against a future year’s earned royalties.</w:t>
      </w:r>
    </w:p>
    <w:p>
      <w:pPr>
        <w:spacing w:after="0" w:line="83" w:lineRule="exact"/>
        <w:rPr>
          <w:sz w:val="20"/>
          <w:szCs w:val="20"/>
          <w:color w:val="auto"/>
        </w:rPr>
      </w:pPr>
    </w:p>
    <w:p>
      <w:pPr>
        <w:ind w:left="460" w:right="460" w:hanging="445"/>
        <w:spacing w:after="0" w:line="314" w:lineRule="auto"/>
        <w:rPr>
          <w:sz w:val="20"/>
          <w:szCs w:val="20"/>
          <w:color w:val="auto"/>
        </w:rPr>
      </w:pPr>
      <w:r>
        <w:rPr>
          <w:rFonts w:ascii="Arial" w:cs="Arial" w:eastAsia="Arial" w:hAnsi="Arial"/>
          <w:sz w:val="16"/>
          <w:szCs w:val="16"/>
          <w:color w:val="auto"/>
        </w:rPr>
        <w:t xml:space="preserve">7.14 </w:t>
      </w:r>
      <w:r>
        <w:rPr>
          <w:rFonts w:ascii="Arial" w:cs="Arial" w:eastAsia="Arial" w:hAnsi="Arial"/>
          <w:sz w:val="16"/>
          <w:szCs w:val="16"/>
          <w:b w:val="1"/>
          <w:bCs w:val="1"/>
          <w:color w:val="auto"/>
        </w:rPr>
        <w:t>Obligation to Pay Royalties</w:t>
      </w:r>
      <w:r>
        <w:rPr>
          <w:rFonts w:ascii="Arial" w:cs="Arial" w:eastAsia="Arial" w:hAnsi="Arial"/>
          <w:sz w:val="16"/>
          <w:szCs w:val="16"/>
          <w:color w:val="auto"/>
        </w:rPr>
        <w:t>. A royalty is due Stanford under this Agreement for each Licensed Product sold under the licenses granted. For convenience’s sake, the amount of that royalty is calculated using Net Sales. Nonetheless, if certain Licensed Products are [*], and those Licensed Products are [*], Forty Seven will pay Stanford an earned royalty for its exercise of rights based on the Net Sales of those Licensed Products.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b w:val="1"/>
          <w:bCs w:val="1"/>
          <w:color w:val="auto"/>
        </w:rPr>
        <w:t>No Escrow</w:t>
      </w:r>
      <w:r>
        <w:rPr>
          <w:rFonts w:ascii="Arial" w:cs="Arial" w:eastAsia="Arial" w:hAnsi="Arial"/>
          <w:sz w:val="18"/>
          <w:szCs w:val="18"/>
          <w:color w:val="auto"/>
        </w:rPr>
        <w:t>. Forty Seven shall not pay royalties into any escrow or other similar account.</w:t>
      </w:r>
    </w:p>
    <w:p>
      <w:pPr>
        <w:spacing w:after="0" w:line="131" w:lineRule="exact"/>
        <w:rPr>
          <w:sz w:val="20"/>
          <w:szCs w:val="20"/>
          <w:color w:val="auto"/>
        </w:rPr>
      </w:pPr>
    </w:p>
    <w:p>
      <w:pPr>
        <w:jc w:val="both"/>
        <w:ind w:left="460" w:right="380" w:hanging="445"/>
        <w:spacing w:after="0" w:line="266"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b w:val="1"/>
          <w:bCs w:val="1"/>
          <w:color w:val="auto"/>
        </w:rPr>
        <w:t>Currency</w:t>
      </w:r>
      <w:r>
        <w:rPr>
          <w:rFonts w:ascii="Arial" w:cs="Arial" w:eastAsia="Arial" w:hAnsi="Arial"/>
          <w:sz w:val="18"/>
          <w:szCs w:val="18"/>
          <w:color w:val="auto"/>
        </w:rPr>
        <w:t>. Forty Seven will calculate the royalty on sales in currencies other than U.S. Dollars using the appropriate foreign exchange rate for the currency quoted by the Wall Street Journal on the close of business on the last banking day of each calendar quarter. Forty Seven will make royalty payments to Stanford in U.S. Dollars.</w:t>
      </w:r>
    </w:p>
    <w:p>
      <w:pPr>
        <w:spacing w:after="0" w:line="82" w:lineRule="exact"/>
        <w:rPr>
          <w:sz w:val="20"/>
          <w:szCs w:val="20"/>
          <w:color w:val="auto"/>
        </w:rPr>
      </w:pPr>
    </w:p>
    <w:p>
      <w:pPr>
        <w:ind w:left="460" w:right="340" w:hanging="445"/>
        <w:spacing w:after="0" w:line="282"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b w:val="1"/>
          <w:bCs w:val="1"/>
          <w:color w:val="auto"/>
        </w:rPr>
        <w:t>Non-U.S. Taxes</w:t>
      </w:r>
      <w:r>
        <w:rPr>
          <w:rFonts w:ascii="Arial" w:cs="Arial" w:eastAsia="Arial" w:hAnsi="Arial"/>
          <w:sz w:val="18"/>
          <w:szCs w:val="18"/>
          <w:color w:val="auto"/>
        </w:rPr>
        <w:t>. Forty Seven will pay all non-U.S. taxes related to royalty payments. These payments are not deductible from any payments due to Stanford.</w:t>
      </w:r>
    </w:p>
    <w:p>
      <w:pPr>
        <w:spacing w:after="0" w:line="67" w:lineRule="exact"/>
        <w:rPr>
          <w:sz w:val="20"/>
          <w:szCs w:val="20"/>
          <w:color w:val="auto"/>
        </w:rPr>
      </w:pPr>
    </w:p>
    <w:p>
      <w:pPr>
        <w:ind w:left="460" w:right="460" w:hanging="445"/>
        <w:spacing w:after="0" w:line="282"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b w:val="1"/>
          <w:bCs w:val="1"/>
          <w:color w:val="auto"/>
        </w:rPr>
        <w:t>Interest</w:t>
      </w:r>
      <w:r>
        <w:rPr>
          <w:rFonts w:ascii="Arial" w:cs="Arial" w:eastAsia="Arial" w:hAnsi="Arial"/>
          <w:sz w:val="18"/>
          <w:szCs w:val="18"/>
          <w:color w:val="auto"/>
        </w:rPr>
        <w:t>. Any payments not made when due will bear interest at the lower of (a) the Prime Rate published in the Wall Street Journal plus [*] basis points, or (b) the maximum rate permitted by law.</w:t>
      </w:r>
    </w:p>
    <w:p>
      <w:pPr>
        <w:spacing w:after="0" w:line="310" w:lineRule="exact"/>
        <w:rPr>
          <w:sz w:val="20"/>
          <w:szCs w:val="20"/>
          <w:color w:val="auto"/>
        </w:rPr>
      </w:pPr>
    </w:p>
    <w:p>
      <w:pPr>
        <w:ind w:left="460" w:hanging="452"/>
        <w:spacing w:after="0"/>
        <w:tabs>
          <w:tab w:leader="none" w:pos="46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ROYALTY REPORTS, PAYMENTS, AND ACCOUNTING</w:t>
      </w:r>
    </w:p>
    <w:p>
      <w:pPr>
        <w:spacing w:after="0" w:line="131" w:lineRule="exact"/>
        <w:rPr>
          <w:sz w:val="20"/>
          <w:szCs w:val="20"/>
          <w:color w:val="auto"/>
        </w:rPr>
      </w:pPr>
    </w:p>
    <w:p>
      <w:pPr>
        <w:ind w:left="460" w:right="60" w:hanging="445"/>
        <w:spacing w:after="0" w:line="256" w:lineRule="auto"/>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color w:val="auto"/>
        </w:rPr>
        <w:t>Quarterly Earned Royalty Payment and Report</w:t>
      </w:r>
      <w:r>
        <w:rPr>
          <w:rFonts w:ascii="Arial" w:cs="Arial" w:eastAsia="Arial" w:hAnsi="Arial"/>
          <w:sz w:val="18"/>
          <w:szCs w:val="18"/>
          <w:color w:val="auto"/>
        </w:rPr>
        <w:t>. Beginning with the first sale of a Licensed Product by Forty Seven, its affiliate, or a sublicensee,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Forty Seven will submit to Stanford a written report (even if there are no sales) and an earned royalty payment within [*] days after the end of each calendar quarter. This report will be in the form of Appendix B and will state the number, description, and aggregate Net Sales of Licensed Product during the completed calendar quarter. The report will include an overview of the process and documents relied upon to permit Stanford to understand how the earned royalties are calculated. With each report Forty Seven will include any earned royalty payment due Stanford for the completed calendar quarter (as calculated under Section 7.8).</w:t>
      </w:r>
    </w:p>
    <w:p>
      <w:pPr>
        <w:spacing w:after="0" w:line="93" w:lineRule="exact"/>
        <w:rPr>
          <w:sz w:val="20"/>
          <w:szCs w:val="20"/>
          <w:color w:val="auto"/>
        </w:rPr>
      </w:pPr>
    </w:p>
    <w:p>
      <w:pPr>
        <w:ind w:left="460" w:right="40" w:hanging="445"/>
        <w:spacing w:after="0" w:line="282" w:lineRule="auto"/>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b w:val="1"/>
          <w:bCs w:val="1"/>
          <w:color w:val="auto"/>
        </w:rPr>
        <w:t>No Refund</w:t>
      </w:r>
      <w:r>
        <w:rPr>
          <w:rFonts w:ascii="Arial" w:cs="Arial" w:eastAsia="Arial" w:hAnsi="Arial"/>
          <w:sz w:val="18"/>
          <w:szCs w:val="18"/>
          <w:color w:val="auto"/>
        </w:rPr>
        <w:t>. In the event that a validity or non-infringement challenge of a Licensed Patent brought by Forty Seven is successful, Forty Seven will have</w:t>
      </w:r>
      <w:r>
        <w:rPr>
          <w:rFonts w:ascii="Arial" w:cs="Arial" w:eastAsia="Arial" w:hAnsi="Arial"/>
          <w:sz w:val="18"/>
          <w:szCs w:val="18"/>
          <w:b w:val="1"/>
          <w:bCs w:val="1"/>
          <w:color w:val="auto"/>
        </w:rPr>
        <w:t xml:space="preserve"> </w:t>
      </w:r>
      <w:r>
        <w:rPr>
          <w:rFonts w:ascii="Arial" w:cs="Arial" w:eastAsia="Arial" w:hAnsi="Arial"/>
          <w:sz w:val="18"/>
          <w:szCs w:val="18"/>
          <w:color w:val="auto"/>
        </w:rPr>
        <w:t>no right to recoup any royalties paid before or during the period challenge.</w:t>
      </w:r>
    </w:p>
    <w:p>
      <w:pPr>
        <w:spacing w:after="0" w:line="67" w:lineRule="exact"/>
        <w:rPr>
          <w:sz w:val="20"/>
          <w:szCs w:val="20"/>
          <w:color w:val="auto"/>
        </w:rPr>
      </w:pPr>
    </w:p>
    <w:p>
      <w:pPr>
        <w:ind w:left="460" w:right="40" w:hanging="445"/>
        <w:spacing w:after="0" w:line="266"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b w:val="1"/>
          <w:bCs w:val="1"/>
          <w:color w:val="auto"/>
        </w:rPr>
        <w:t>Termination Report</w:t>
      </w:r>
      <w:r>
        <w:rPr>
          <w:rFonts w:ascii="Arial" w:cs="Arial" w:eastAsia="Arial" w:hAnsi="Arial"/>
          <w:sz w:val="18"/>
          <w:szCs w:val="18"/>
          <w:color w:val="auto"/>
        </w:rPr>
        <w:t>. Forty Seven will pay to Stanford all applicable unpaid royalties accrued as of the date of termination and submit to Stanford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report within [*] days after the license terminates. Forty Seven will continue to submit earned royalty payments and reports to Stanford after the license terminates, until all Licensed Products made or imported under the license have been sold.</w:t>
      </w:r>
    </w:p>
    <w:p>
      <w:pPr>
        <w:spacing w:after="0" w:line="82" w:lineRule="exact"/>
        <w:rPr>
          <w:sz w:val="20"/>
          <w:szCs w:val="20"/>
          <w:color w:val="auto"/>
        </w:rPr>
      </w:pPr>
    </w:p>
    <w:p>
      <w:pPr>
        <w:ind w:left="460" w:right="260" w:hanging="445"/>
        <w:spacing w:after="0" w:line="282" w:lineRule="auto"/>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b w:val="1"/>
          <w:bCs w:val="1"/>
          <w:color w:val="auto"/>
        </w:rPr>
        <w:t>Accounting</w:t>
      </w:r>
      <w:r>
        <w:rPr>
          <w:rFonts w:ascii="Arial" w:cs="Arial" w:eastAsia="Arial" w:hAnsi="Arial"/>
          <w:sz w:val="18"/>
          <w:szCs w:val="18"/>
          <w:color w:val="auto"/>
        </w:rPr>
        <w:t>. Forty Seven will maintain records showing manufacture, importation, sale, and use of a Licensed Product for [*] years from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that Licensed Product. Records will</w:t>
      </w:r>
    </w:p>
    <w:p>
      <w:pPr>
        <w:spacing w:after="0" w:line="341" w:lineRule="exact"/>
        <w:rPr>
          <w:sz w:val="20"/>
          <w:szCs w:val="20"/>
          <w:color w:val="auto"/>
        </w:rPr>
      </w:pPr>
    </w:p>
    <w:p>
      <w:pPr>
        <w:ind w:left="460" w:right="540" w:hanging="452"/>
        <w:spacing w:after="0" w:line="277" w:lineRule="auto"/>
        <w:tabs>
          <w:tab w:leader="none" w:pos="4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274" w:right="239" w:bottom="1440" w:gutter="0" w:footer="0" w:header="0"/>
        </w:sectPr>
      </w:pPr>
    </w:p>
    <w:bookmarkStart w:id="377" w:name="page378"/>
    <w:bookmarkEnd w:id="377"/>
    <w:p>
      <w:pPr>
        <w:ind w:left="46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 general-ledger records showing cash receipts and expenses, and records that include: production records, customers, invoices, serial numbers, and related information in sufficient detail to enable Stanford to determine the royalties payable under this Agreement.</w:t>
      </w:r>
    </w:p>
    <w:p>
      <w:pPr>
        <w:spacing w:after="0" w:line="72" w:lineRule="exact"/>
        <w:rPr>
          <w:sz w:val="20"/>
          <w:szCs w:val="20"/>
          <w:color w:val="auto"/>
        </w:rPr>
      </w:pPr>
    </w:p>
    <w:p>
      <w:pPr>
        <w:jc w:val="center"/>
        <w:ind w:right="320"/>
        <w:spacing w:after="0" w:line="347"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color w:val="auto"/>
        </w:rPr>
        <w:t>Audit by Stanford</w:t>
      </w:r>
      <w:r>
        <w:rPr>
          <w:rFonts w:ascii="Arial" w:cs="Arial" w:eastAsia="Arial" w:hAnsi="Arial"/>
          <w:sz w:val="16"/>
          <w:szCs w:val="16"/>
          <w:color w:val="auto"/>
        </w:rPr>
        <w:t>. Upon reasonable advance notice and during normal business hours, Forty Seven will allow Stanford or its designee to examine Forty Seven’s records kept in accordance with Section 8.4, no more than [*], to verify payments made by Forty Seven under this Agreement.</w:t>
      </w:r>
    </w:p>
    <w:p>
      <w:pPr>
        <w:spacing w:after="0" w:line="22" w:lineRule="exact"/>
        <w:rPr>
          <w:sz w:val="20"/>
          <w:szCs w:val="20"/>
          <w:color w:val="auto"/>
        </w:rPr>
      </w:pPr>
    </w:p>
    <w:p>
      <w:pPr>
        <w:ind w:left="460" w:right="40" w:hanging="445"/>
        <w:spacing w:after="0" w:line="313" w:lineRule="auto"/>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b w:val="1"/>
          <w:bCs w:val="1"/>
          <w:color w:val="auto"/>
        </w:rPr>
        <w:t>Paying for Audit</w:t>
      </w:r>
      <w:r>
        <w:rPr>
          <w:rFonts w:ascii="Arial" w:cs="Arial" w:eastAsia="Arial" w:hAnsi="Arial"/>
          <w:sz w:val="17"/>
          <w:szCs w:val="17"/>
          <w:color w:val="auto"/>
        </w:rPr>
        <w:t>. Stanford will pay for any audit done under Section 8.5. But if the audit reveals an underreporting of earned royalties due Stanford of</w:t>
      </w:r>
      <w:r>
        <w:rPr>
          <w:rFonts w:ascii="Arial" w:cs="Arial" w:eastAsia="Arial" w:hAnsi="Arial"/>
          <w:sz w:val="17"/>
          <w:szCs w:val="17"/>
          <w:b w:val="1"/>
          <w:bCs w:val="1"/>
          <w:color w:val="auto"/>
        </w:rPr>
        <w:t xml:space="preserve"> </w:t>
      </w:r>
      <w:r>
        <w:rPr>
          <w:rFonts w:ascii="Arial" w:cs="Arial" w:eastAsia="Arial" w:hAnsi="Arial"/>
          <w:sz w:val="17"/>
          <w:szCs w:val="17"/>
          <w:color w:val="auto"/>
        </w:rPr>
        <w:t>[*] or more for the period being audited, Forty Seven will pay the out-of-pocket audit costs reasonably incurred by Stanford.</w:t>
      </w:r>
    </w:p>
    <w:p>
      <w:pPr>
        <w:spacing w:after="0" w:line="44" w:lineRule="exact"/>
        <w:rPr>
          <w:sz w:val="20"/>
          <w:szCs w:val="20"/>
          <w:color w:val="auto"/>
        </w:rPr>
      </w:pPr>
    </w:p>
    <w:p>
      <w:pPr>
        <w:ind w:left="460" w:right="60" w:hanging="445"/>
        <w:spacing w:after="0" w:line="281" w:lineRule="auto"/>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b w:val="1"/>
          <w:bCs w:val="1"/>
          <w:color w:val="auto"/>
        </w:rPr>
        <w:t>Self-audit</w:t>
      </w:r>
      <w:r>
        <w:rPr>
          <w:rFonts w:ascii="Arial" w:cs="Arial" w:eastAsia="Arial" w:hAnsi="Arial"/>
          <w:sz w:val="17"/>
          <w:szCs w:val="17"/>
          <w:color w:val="auto"/>
        </w:rPr>
        <w:t>. Forty Seven will conduct an independent audit of sales and royalties at least [*] if annual sales of Licensed Product are over $[*]. The audit</w:t>
      </w:r>
      <w:r>
        <w:rPr>
          <w:rFonts w:ascii="Arial" w:cs="Arial" w:eastAsia="Arial" w:hAnsi="Arial"/>
          <w:sz w:val="17"/>
          <w:szCs w:val="17"/>
          <w:b w:val="1"/>
          <w:bCs w:val="1"/>
          <w:color w:val="auto"/>
        </w:rPr>
        <w:t xml:space="preserve"> </w:t>
      </w:r>
      <w:r>
        <w:rPr>
          <w:rFonts w:ascii="Arial" w:cs="Arial" w:eastAsia="Arial" w:hAnsi="Arial"/>
          <w:sz w:val="17"/>
          <w:szCs w:val="17"/>
          <w:color w:val="auto"/>
        </w:rPr>
        <w:t>will address, at a minimum, the amount of gross sales by or on behalf of Forty Seven during the audit period, the amount of funds owed to Stanford under this Agreement, and whether the amount owed has been paid to Stanford and is reflected in the records of Forty Seven. Forty Seven will submit the auditor’s report promptly to Stanford upon completion. Forty Seven will pay for the entire cost of the audit.</w:t>
      </w:r>
    </w:p>
    <w:p>
      <w:pPr>
        <w:spacing w:after="0" w:line="314" w:lineRule="exact"/>
        <w:rPr>
          <w:sz w:val="20"/>
          <w:szCs w:val="20"/>
          <w:color w:val="auto"/>
        </w:rPr>
      </w:pPr>
    </w:p>
    <w:p>
      <w:pPr>
        <w:ind w:left="460" w:hanging="452"/>
        <w:spacing w:after="0"/>
        <w:tabs>
          <w:tab w:leader="none" w:pos="46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 AND NEGATION OF WARRANTIES</w:t>
      </w:r>
    </w:p>
    <w:p>
      <w:pPr>
        <w:spacing w:after="0" w:line="131" w:lineRule="exact"/>
        <w:rPr>
          <w:sz w:val="20"/>
          <w:szCs w:val="20"/>
          <w:color w:val="auto"/>
        </w:rPr>
      </w:pPr>
    </w:p>
    <w:p>
      <w:pPr>
        <w:ind w:left="460" w:right="380" w:hanging="445"/>
        <w:spacing w:after="0" w:line="266"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b w:val="1"/>
          <w:bCs w:val="1"/>
          <w:color w:val="auto"/>
        </w:rPr>
        <w:t>Negation of Warranties</w:t>
      </w:r>
      <w:r>
        <w:rPr>
          <w:rFonts w:ascii="Arial" w:cs="Arial" w:eastAsia="Arial" w:hAnsi="Arial"/>
          <w:sz w:val="18"/>
          <w:szCs w:val="18"/>
          <w:color w:val="auto"/>
        </w:rPr>
        <w:t>. Stanford provides Forty Seven the rights granted in this Agreement AS IS and WITH ALL FAULTS. Stanford makes no</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extends no warranties of any kind, either express or implied. Among other things, Stanford disclaims any express or implied warranty:</w:t>
      </w:r>
    </w:p>
    <w:p>
      <w:pPr>
        <w:spacing w:after="0" w:line="86" w:lineRule="exact"/>
        <w:rPr>
          <w:sz w:val="20"/>
          <w:szCs w:val="20"/>
          <w:color w:val="auto"/>
        </w:rPr>
      </w:pPr>
    </w:p>
    <w:p>
      <w:pPr>
        <w:ind w:left="900" w:hanging="446"/>
        <w:spacing w:after="0"/>
        <w:tabs>
          <w:tab w:leader="none" w:pos="9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of merchantability, of fitness for a particular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of non-infringement;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arising out of any course of dealing.</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No Representation of Licensed Patent</w:t>
      </w:r>
      <w:r>
        <w:rPr>
          <w:rFonts w:ascii="Arial" w:cs="Arial" w:eastAsia="Arial" w:hAnsi="Arial"/>
          <w:sz w:val="16"/>
          <w:szCs w:val="16"/>
          <w:color w:val="auto"/>
        </w:rPr>
        <w:t>. Forty Seven also acknowledges that Stanford does not represent or warrant:</w:t>
      </w:r>
    </w:p>
    <w:p>
      <w:pPr>
        <w:spacing w:after="0" w:line="135" w:lineRule="exact"/>
        <w:rPr>
          <w:sz w:val="20"/>
          <w:szCs w:val="20"/>
          <w:color w:val="auto"/>
        </w:rPr>
      </w:pPr>
    </w:p>
    <w:p>
      <w:pPr>
        <w:ind w:left="900" w:hanging="446"/>
        <w:spacing w:after="0"/>
        <w:tabs>
          <w:tab w:leader="none" w:pos="9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the validity or scope of any Licensed Patent;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that the exploitation of Licensed Patent, Licensed Information or Licensed Technology will be successful.</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135" w:lineRule="exact"/>
        <w:rPr>
          <w:sz w:val="20"/>
          <w:szCs w:val="20"/>
          <w:color w:val="auto"/>
        </w:rPr>
      </w:pPr>
    </w:p>
    <w:p>
      <w:pPr>
        <w:ind w:left="900" w:hanging="446"/>
        <w:spacing w:after="0" w:line="255" w:lineRule="auto"/>
        <w:tabs>
          <w:tab w:leader="none" w:pos="90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Forty Seven will indemnify, hold harmless, and defend all Stanford Indemnitees against any claim of any kind arising out of or related to the exercise of any rights granted Forty Seven under this Agreement or the breach of this Agreement by Forty Seven. Stanford agrees to inform Forty Seven promptly in writing of any claim or threatened claim that may give rise to an obligation of indemnity under this Agreement of which Stanford becomes aware. Forty Seven’s obligations to a Stanford Indemnitee under this section shall be relieved only to the extent that Forty Seven can demonstrate material prejudice caused by (1) Stanford’s failure to provide adequate or timely notice of the claim; (2) the Stanford Indemnitee making an admission regarding such claim without the prior written consent of Forty Seven, which consent shall not be unreasonably withheld; and (3) the</w:t>
      </w:r>
    </w:p>
    <w:p>
      <w:pPr>
        <w:spacing w:after="0" w:line="364" w:lineRule="exact"/>
        <w:rPr>
          <w:rFonts w:ascii="Arial" w:cs="Arial" w:eastAsia="Arial" w:hAnsi="Arial"/>
          <w:sz w:val="18"/>
          <w:szCs w:val="18"/>
          <w:color w:val="auto"/>
        </w:rPr>
      </w:pPr>
    </w:p>
    <w:p>
      <w:pPr>
        <w:ind w:left="460" w:right="520" w:hanging="452"/>
        <w:spacing w:after="0" w:line="277" w:lineRule="auto"/>
        <w:tabs>
          <w:tab w:leader="none" w:pos="4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273" w:right="259" w:bottom="1440" w:gutter="0" w:footer="0" w:header="0"/>
        </w:sectPr>
      </w:pPr>
    </w:p>
    <w:bookmarkStart w:id="378" w:name="page379"/>
    <w:bookmarkEnd w:id="378"/>
    <w:p>
      <w:pPr>
        <w:jc w:val="both"/>
        <w:ind w:left="920"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gross negligence or willful misconduct of the Stanford Indemnitee. Stanford will provide Forty Seven with the first right to defend and settle and exclusive control of the defense or settlement of each such claim, provided that Forty Seven must do so in a manner that does not adversely affect Stanford’s interests and it must obtain Stanford’s prior consent to any settlement (such consent not to be unreasonably withheld or delayed).</w:t>
      </w:r>
    </w:p>
    <w:p>
      <w:pPr>
        <w:ind w:left="920" w:right="220"/>
        <w:spacing w:after="0" w:line="295" w:lineRule="auto"/>
        <w:rPr>
          <w:sz w:val="20"/>
          <w:szCs w:val="20"/>
          <w:color w:val="auto"/>
        </w:rPr>
      </w:pPr>
      <w:r>
        <w:rPr>
          <w:rFonts w:ascii="Arial" w:cs="Arial" w:eastAsia="Arial" w:hAnsi="Arial"/>
          <w:sz w:val="16"/>
          <w:szCs w:val="16"/>
          <w:color w:val="auto"/>
        </w:rPr>
        <w:t>Notwithstanding the foregoing, Forty Seven shall have no obligation for any claim that may be the subject of this Section 10.1(A) to the extent resulting from any Stanford Indemnitee’s conduct of the clinical trials of Hu5F9 until and to the extent Forty Seven and Stanford enter into an agreement for the conduct of any such clinical trial in which Forty Seven shall indemnify Stanford for claims arising from such clinical trial, which agreement, upon execution by the parties shall govern their respective indemnification obligations with respect to such clinical trial.</w:t>
      </w:r>
    </w:p>
    <w:p>
      <w:pPr>
        <w:spacing w:after="0" w:line="67" w:lineRule="exact"/>
        <w:rPr>
          <w:sz w:val="20"/>
          <w:szCs w:val="20"/>
          <w:color w:val="auto"/>
        </w:rPr>
      </w:pPr>
    </w:p>
    <w:p>
      <w:pPr>
        <w:ind w:left="900" w:right="20" w:hanging="446"/>
        <w:spacing w:after="0" w:line="291" w:lineRule="auto"/>
        <w:tabs>
          <w:tab w:leader="none" w:pos="90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HHMI Indemnitees will be indemnified, defended by counsel acceptable to HHMI, and held harmless by Forty Seven from and against any claim, liability, cost, expense, damage, deficiency, loss, or obligation, of any kind or nature (including, without limitation, reasonable attorneys’ fees and other costs and expenses of defense) (collectively, “Claims”), based upon, arising out of, or otherwise relating to this Agreement, including without limitation any cause of action relating to product liability. The previous sentence will not apply to any Claim that is determined with finality by a court of competent jurisdiction to result solely from the gross negligence or willful misconduct of an HHMI Indemnitee. Notwithstanding Section 10.2 or any other provision of this Agreement, Forty Seven’s obligation to defend, indemnify and hold harmless the HHMI Indemnitees under this paragraph will not be subject to any limitation or exclusion of liability or damages or otherwise limited in any way.</w:t>
      </w:r>
    </w:p>
    <w:p>
      <w:pPr>
        <w:spacing w:after="0" w:line="69" w:lineRule="exact"/>
        <w:rPr>
          <w:sz w:val="20"/>
          <w:szCs w:val="20"/>
          <w:color w:val="auto"/>
        </w:rPr>
      </w:pPr>
    </w:p>
    <w:p>
      <w:pPr>
        <w:ind w:left="460" w:right="500" w:hanging="445"/>
        <w:spacing w:after="0" w:line="26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No Indirect Liability</w:t>
      </w:r>
      <w:r>
        <w:rPr>
          <w:rFonts w:ascii="Arial" w:cs="Arial" w:eastAsia="Arial" w:hAnsi="Arial"/>
          <w:sz w:val="18"/>
          <w:szCs w:val="18"/>
          <w:color w:val="auto"/>
        </w:rPr>
        <w:t>. Neither party shall be liable for any special, consequential, lost profit, expectation, punitive or other indirect damages in connection with any claim arising out of or related to this Agreement, whether grounded in tort (including negligence), strict liability, contract, or otherwise.</w:t>
      </w:r>
    </w:p>
    <w:p>
      <w:pPr>
        <w:spacing w:after="0" w:line="82" w:lineRule="exact"/>
        <w:rPr>
          <w:sz w:val="20"/>
          <w:szCs w:val="20"/>
          <w:color w:val="auto"/>
        </w:rPr>
      </w:pPr>
    </w:p>
    <w:p>
      <w:pPr>
        <w:ind w:left="460" w:right="520" w:hanging="445"/>
        <w:spacing w:after="0" w:line="28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Workers’ Compensation</w:t>
      </w:r>
      <w:r>
        <w:rPr>
          <w:rFonts w:ascii="Arial" w:cs="Arial" w:eastAsia="Arial" w:hAnsi="Arial"/>
          <w:sz w:val="18"/>
          <w:szCs w:val="18"/>
          <w:color w:val="auto"/>
        </w:rPr>
        <w:t>. Forty Seven will comply with all statutory workers’ compensation and employers’ liability requirements for activities performed under this Agreement.</w:t>
      </w:r>
    </w:p>
    <w:p>
      <w:pPr>
        <w:spacing w:after="0" w:line="67" w:lineRule="exact"/>
        <w:rPr>
          <w:sz w:val="20"/>
          <w:szCs w:val="20"/>
          <w:color w:val="auto"/>
        </w:rPr>
      </w:pPr>
    </w:p>
    <w:p>
      <w:pPr>
        <w:ind w:left="460" w:hanging="445"/>
        <w:spacing w:after="0" w:line="290"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color w:val="auto"/>
        </w:rPr>
        <w:t>Insurance</w:t>
      </w:r>
      <w:r>
        <w:rPr>
          <w:rFonts w:ascii="Arial" w:cs="Arial" w:eastAsia="Arial" w:hAnsi="Arial"/>
          <w:sz w:val="16"/>
          <w:szCs w:val="16"/>
          <w:color w:val="auto"/>
        </w:rPr>
        <w:t>. Prior to the first testing of a Licensed Product by Forty Seven in a human and thereafter during the term of this Agreement, Forty Seven will maintain Comprehensive General Liability Insurance, including Product Liability Insurance, with a reputable and financially secure insurance carrier to cover the activities of Forty Seven and its sublicensees. The insurance will provide minimum limits of liability of $[*] and will include all Stanford Indemnitees and HHMI Indemnitees as additional insureds. Insurance must cover claims incurred, discovered, manifested, or made during or after the expiration of this Agreement and must be placed with carriers with ratings of at least A- as rated by A.M. Best. Within [*] days of the Effective Date of this Agreement, Forty Seven will furnish a Certificate of Insurance evidencing primary coverage and additional insured requirements. Forty Seven will provide to Stanford [*] days prior written notice of cancellation or material change to this insurance coverage. Forty Seven will advise Stanford in writing that it maintains excess liability coverage (following form) over primary insurance for at least the minimum limits set forth above. All insurance of Forty Seven will be primary coverage; insurance of Stanford Indemnitees and HHMI Indemnitees will be excess and noncontributory.</w:t>
      </w:r>
    </w:p>
    <w:p>
      <w:pPr>
        <w:spacing w:after="0" w:line="309" w:lineRule="exact"/>
        <w:rPr>
          <w:sz w:val="20"/>
          <w:szCs w:val="20"/>
          <w:color w:val="auto"/>
        </w:rPr>
      </w:pPr>
    </w:p>
    <w:p>
      <w:pPr>
        <w:ind w:left="460" w:hanging="452"/>
        <w:spacing w:after="0"/>
        <w:tabs>
          <w:tab w:leader="none" w:pos="46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EXPORT</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Forty Seven and its Affiliates and sublicensees shall comply with all United States laws and regulations controlling the export of licensed commodities and technical data. (For the purpose of this paragraph, “licensed commodities” means any article, material, or supply, but does not include information; and “technical data” means tangible or intangible technical information that is subject to U.S. export</w:t>
      </w:r>
    </w:p>
    <w:p>
      <w:pPr>
        <w:spacing w:after="0" w:line="114" w:lineRule="exact"/>
        <w:rPr>
          <w:sz w:val="20"/>
          <w:szCs w:val="20"/>
          <w:color w:val="auto"/>
        </w:rPr>
      </w:pPr>
    </w:p>
    <w:p>
      <w:pPr>
        <w:ind w:left="460" w:right="540" w:hanging="452"/>
        <w:spacing w:after="0" w:line="277" w:lineRule="auto"/>
        <w:tabs>
          <w:tab w:leader="none" w:pos="4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274" w:right="239" w:bottom="1440" w:gutter="0" w:footer="0" w:header="0"/>
        </w:sectPr>
      </w:pPr>
    </w:p>
    <w:bookmarkStart w:id="379" w:name="page380"/>
    <w:bookmarkEnd w:id="379"/>
    <w:p>
      <w:pPr>
        <w:jc w:val="both"/>
        <w:ind w:right="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regulations, including blueprints, plans, diagrams, models, formulae, tables, engineering designs and specifications, manuals, and instructions.) These laws and regulations may include, but are not limited to, the Export Administration Regulations (15 CFR 730-774), the International Traffic in Arms Regulations (22 CFR 120-130) and the various economic sanctions regulations administered by the U.S. Department of the Treasury (31 CFR 500-600).</w:t>
      </w:r>
    </w:p>
    <w:p>
      <w:pPr>
        <w:spacing w:after="0" w:line="14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Among other things, these laws and regulations prohibit or require a license for the export or retransfer of certain commodities and technical data to specified countries, entities and persons. Forty Seven hereby gives written assurance that it will comply with, and will cause its Affiliates and sublicensees to comply with, all United States export control laws and regulations, that it bears sole responsibility for any violation of such laws and regulations by itself or its Affiliates or sublicensees, and that it will indemnify, defend and hold Stanford and HHMI Indemnitees harmless for the consequences of any such violation.</w:t>
      </w:r>
    </w:p>
    <w:p>
      <w:pPr>
        <w:spacing w:after="0" w:line="299" w:lineRule="exact"/>
        <w:rPr>
          <w:sz w:val="20"/>
          <w:szCs w:val="20"/>
          <w:color w:val="auto"/>
        </w:rPr>
      </w:pPr>
    </w:p>
    <w:p>
      <w:pPr>
        <w:ind w:left="460" w:hanging="452"/>
        <w:spacing w:after="0"/>
        <w:tabs>
          <w:tab w:leader="none" w:pos="46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MARKING</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Before any Licensed Patent issues, Forty Seven will mark Licensed Product with the words “Patent Pending.” Otherwise, Forty Seven will mark Licensed Product with the number of any issued Licensed Patent, to the extent required by the applicable patent marking laws.</w:t>
      </w:r>
    </w:p>
    <w:p>
      <w:pPr>
        <w:spacing w:after="0" w:line="315" w:lineRule="exact"/>
        <w:rPr>
          <w:sz w:val="20"/>
          <w:szCs w:val="20"/>
          <w:color w:val="auto"/>
        </w:rPr>
      </w:pPr>
    </w:p>
    <w:p>
      <w:pPr>
        <w:ind w:left="460" w:hanging="452"/>
        <w:spacing w:after="0"/>
        <w:tabs>
          <w:tab w:leader="none" w:pos="46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STANFORD NAMES AND MARKS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Forty Seven will not use (i) Stanford’s or HHMI’s name or other trademarks, (ii) the name or trademarks of any organization related to Stanford or HHMI, or</w:t>
      </w:r>
    </w:p>
    <w:p>
      <w:pPr>
        <w:spacing w:after="0" w:line="46" w:lineRule="exact"/>
        <w:rPr>
          <w:sz w:val="20"/>
          <w:szCs w:val="20"/>
          <w:color w:val="auto"/>
        </w:rPr>
      </w:pPr>
    </w:p>
    <w:p>
      <w:pPr>
        <w:ind w:firstLine="8"/>
        <w:spacing w:after="0" w:line="270" w:lineRule="auto"/>
        <w:tabs>
          <w:tab w:leader="none" w:pos="315" w:val="left"/>
        </w:tabs>
        <w:numPr>
          <w:ilvl w:val="0"/>
          <w:numId w:val="424"/>
        </w:numPr>
        <w:rPr>
          <w:rFonts w:ascii="Arial" w:cs="Arial" w:eastAsia="Arial" w:hAnsi="Arial"/>
          <w:sz w:val="17"/>
          <w:szCs w:val="17"/>
          <w:color w:val="auto"/>
        </w:rPr>
      </w:pPr>
      <w:r>
        <w:rPr>
          <w:rFonts w:ascii="Arial" w:cs="Arial" w:eastAsia="Arial" w:hAnsi="Arial"/>
          <w:sz w:val="17"/>
          <w:szCs w:val="17"/>
          <w:color w:val="auto"/>
        </w:rPr>
        <w:t>the name of any Stanford or HHMI faculty member, employee, student, or volunteer, without the prior written consent of the party (Stanford or HHMI, as the case may be) whose name or trademark is being used. Permission may be withheld at Stanford’s or HHMI’s sole discretion. This prohibition includes, but is not limited to, use in press releases, advertising, marketing materials, other promotional materials, presentations, case studies, reports, websites, application or software interfaces, and other electronic media. Notwithstanding the foregoing, Forty Seven may, without prior permission of Stanford, reasonably utilize Stanford’s name in statements of fact (provided such statements do not imply endorsement of Forty Seven’s products), in legal proceedings, patent filings, and regulatory filings, and/or any such individual’s name upon his or her prior written consent.</w:t>
      </w:r>
    </w:p>
    <w:p>
      <w:pPr>
        <w:spacing w:after="0" w:line="323" w:lineRule="exact"/>
        <w:rPr>
          <w:sz w:val="20"/>
          <w:szCs w:val="20"/>
          <w:color w:val="auto"/>
        </w:rPr>
      </w:pPr>
    </w:p>
    <w:p>
      <w:pPr>
        <w:ind w:left="460" w:hanging="452"/>
        <w:spacing w:after="0"/>
        <w:tabs>
          <w:tab w:leader="none" w:pos="4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PROSECUTION AND PROTECTION OF PATENTS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Patent Prosecution.</w:t>
      </w:r>
    </w:p>
    <w:p>
      <w:pPr>
        <w:spacing w:after="0" w:line="135" w:lineRule="exact"/>
        <w:rPr>
          <w:sz w:val="20"/>
          <w:szCs w:val="20"/>
          <w:color w:val="auto"/>
        </w:rPr>
      </w:pPr>
    </w:p>
    <w:p>
      <w:pPr>
        <w:ind w:left="900" w:right="140" w:hanging="446"/>
        <w:spacing w:after="0" w:line="291" w:lineRule="auto"/>
        <w:tabs>
          <w:tab w:leader="none" w:pos="90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Following the Effective Date, Forty Seven will be responsible for Forty Seven Patent Matters. Forty Seven will use commercially reasonable efforts with respect to the Forty Seven Patent Matters and in doing so will act in good faith irrespective of other patents, patent applications, or other rights that Forty Seven may possess. Forty Seven will consult with Stanford on Forty Seven Patent Matters and advise Stanford of any substantive actions in prosecuting the claims. Stanford will have final approval on any Forty Seven Patent Matters, such approval not to be unreasonably withheld, conditioned, or delayed. To aid Forty Seven in this process, Stanford will promptly provide all information, execute and deliver all documents, and do all other acts as Forty Seven shall reasonably request from time to time. If at any time Forty Seven fails to satisfy the standards of this Section 14.1(A), Stanford may, upon [*] days’ notice, terminate this Section 14.1(A).</w:t>
      </w:r>
    </w:p>
    <w:p>
      <w:pPr>
        <w:spacing w:after="0" w:line="72" w:lineRule="exact"/>
        <w:rPr>
          <w:rFonts w:ascii="Arial" w:cs="Arial" w:eastAsia="Arial" w:hAnsi="Arial"/>
          <w:sz w:val="16"/>
          <w:szCs w:val="16"/>
          <w:color w:val="auto"/>
        </w:rPr>
      </w:pPr>
    </w:p>
    <w:p>
      <w:pPr>
        <w:jc w:val="both"/>
        <w:ind w:left="900" w:right="80" w:hanging="446"/>
        <w:spacing w:after="0" w:line="312" w:lineRule="auto"/>
        <w:tabs>
          <w:tab w:leader="none" w:pos="90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Forty Seven will reimburse Stanford for Stanford’s reasonable out-of-pocket costs incurred in complying with such requests. Stanford and Forty Seven agree that Stanford is the client of record for the attorney prosecuting the Licensed Patents included in the Forty Seven Patent Matters and agree to have Appendix C fully executed by the appropriate parties upon execution of this Agreement. At Stanford’s request, Forty Seven</w:t>
      </w:r>
    </w:p>
    <w:p>
      <w:pPr>
        <w:spacing w:after="0" w:line="322" w:lineRule="exact"/>
        <w:rPr>
          <w:rFonts w:ascii="Arial" w:cs="Arial" w:eastAsia="Arial" w:hAnsi="Arial"/>
          <w:sz w:val="16"/>
          <w:szCs w:val="16"/>
          <w:color w:val="auto"/>
        </w:rPr>
      </w:pPr>
    </w:p>
    <w:p>
      <w:pPr>
        <w:ind w:left="460" w:right="520" w:hanging="452"/>
        <w:spacing w:after="0" w:line="277" w:lineRule="auto"/>
        <w:tabs>
          <w:tab w:leader="none" w:pos="4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274" w:right="259" w:bottom="1440" w:gutter="0" w:footer="0" w:header="0"/>
        </w:sectPr>
      </w:pPr>
    </w:p>
    <w:bookmarkStart w:id="380" w:name="page381"/>
    <w:bookmarkEnd w:id="380"/>
    <w:p>
      <w:pPr>
        <w:ind w:left="920"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 provide all information and assistance to Stanford to ensure that the Licensed Patent is as extensive as possible. If Stanford has terminated Section 14.1(A), any agreement in the form of Appendix C will be deemed to be amended immediately without prior action by any party to revise Appendix C, Section 1 to require the Firm (as defined in Appendix C) to interact directly with Stanford only.</w:t>
      </w:r>
    </w:p>
    <w:p>
      <w:pPr>
        <w:spacing w:after="0" w:line="71" w:lineRule="exact"/>
        <w:rPr>
          <w:sz w:val="20"/>
          <w:szCs w:val="20"/>
          <w:color w:val="auto"/>
        </w:rPr>
      </w:pPr>
    </w:p>
    <w:p>
      <w:pPr>
        <w:ind w:left="900" w:right="20" w:hanging="446"/>
        <w:spacing w:after="0" w:line="264" w:lineRule="auto"/>
        <w:tabs>
          <w:tab w:leader="none" w:pos="9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In the event Forty Seven decides to abandon any Licensed Patent(s) included in the Forty Seven Patent Matters, Forty Seven shall give Stanford reasonable prior written notice. Stanford may in its discretion continue to prosecute and maintain such Licensed Patent(s) at its expense, in which case such Licensed Patent(s) shall [*].</w:t>
      </w:r>
    </w:p>
    <w:p>
      <w:pPr>
        <w:spacing w:after="0" w:line="86" w:lineRule="exact"/>
        <w:rPr>
          <w:rFonts w:ascii="Arial" w:cs="Arial" w:eastAsia="Arial" w:hAnsi="Arial"/>
          <w:sz w:val="18"/>
          <w:szCs w:val="18"/>
          <w:color w:val="auto"/>
        </w:rPr>
      </w:pPr>
    </w:p>
    <w:p>
      <w:pPr>
        <w:ind w:left="900" w:right="20" w:hanging="446"/>
        <w:spacing w:after="0" w:line="285" w:lineRule="auto"/>
        <w:tabs>
          <w:tab w:leader="none" w:pos="90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Subject to the following terms of this Section 14.1(D) below, Stanford will be solely responsible for preparing, filing, and prosecuting and maintaining the SIRPα Component Patents (“SIRPα Component Patent Matters”). With respect to SIRPα Component Patent Matters, and/or in the event Stanford controls the preparation, filing, prosecution and maintenance of any of the other Licensed Patents, Stanford agrees to (i) keep Forty Seven reasonably informed as to the SIRPα Component Patent Matters, and the preparation, filing, prosecution and maintenance of such other Licensed Patents, (ii) furnish to Forty Seven copies of material documents and communications relevant to such filing, prosecution and maintenance, and (iii) allow Forty Seven a reasonable opportunity to comment on patent strategy and material documents filed with any patent office with respect to the SIRPα Component Patent Matters and such other Licensed Patents and incorporate Forty Seven’s reasonable comments and suggestions with respect thereto as mutually agreed. In the event Stanford elects to abandon any patent or application within the Licensed Patents, it shall notify Forty Seven and any other licensee(s) of the Licensed Patents at least [*] days in advance of the next applicable deadline with the applicable patent office, in which case Forty Seven and any such other licensee(s) shall discuss and agree on the control and expense of the prosecution and maintenance of such patents and applications (including any patent issuing therefrom). In the event of any disagreement as between Forty Seven and the one third party licensee to which Stanford has granted a license under the SIRPα Component Patent in the SIRPα Component Field of Use prior to the Effective Date concerning the preparation, filing, prosecution, maintenance or other matters in respect of the SIRPα Component Patent Matters, Stanford and Forty Seven shall meet and discuss such disagreement, and Stanford shall be responsible for final decisions concerning such disagreement with respect to the SIRPα Component Patent Matters, taking into account the rights and interests of such licensees of the SIRPα Component Patent.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Patent Costs</w:t>
      </w:r>
      <w:r>
        <w:rPr>
          <w:rFonts w:ascii="Arial" w:cs="Arial" w:eastAsia="Arial" w:hAnsi="Arial"/>
          <w:sz w:val="18"/>
          <w:szCs w:val="18"/>
          <w:color w:val="auto"/>
        </w:rPr>
        <w:t>. Within [*] days after receiving a statement from Stanford, Forty Seven will reimburse Stanford:</w:t>
      </w:r>
    </w:p>
    <w:p>
      <w:pPr>
        <w:spacing w:after="0" w:line="135" w:lineRule="exact"/>
        <w:rPr>
          <w:sz w:val="20"/>
          <w:szCs w:val="20"/>
          <w:color w:val="auto"/>
        </w:rPr>
      </w:pPr>
    </w:p>
    <w:p>
      <w:pPr>
        <w:ind w:left="900" w:hanging="446"/>
        <w:spacing w:after="0" w:line="264" w:lineRule="auto"/>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for the following approximate amounts to offset Exclusive Patent’s and Limited Exclusive Patent’s patenting expenses, including any interference or reexamination matters, incurred by Stanford before the Effective Date: (i) $466,262.92 to be invoiced upon the Effective Date; and $466,262.92 to be invoiced upon the [*] of the Effective Date; and</w:t>
      </w:r>
    </w:p>
    <w:p>
      <w:pPr>
        <w:spacing w:after="0" w:line="86" w:lineRule="exact"/>
        <w:rPr>
          <w:rFonts w:ascii="Arial" w:cs="Arial" w:eastAsia="Arial" w:hAnsi="Arial"/>
          <w:sz w:val="18"/>
          <w:szCs w:val="18"/>
          <w:color w:val="auto"/>
        </w:rPr>
      </w:pPr>
    </w:p>
    <w:p>
      <w:pPr>
        <w:ind w:left="900" w:right="480" w:hanging="446"/>
        <w:spacing w:after="0" w:line="264" w:lineRule="auto"/>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for the following out-of-pocket Exclusive Patent’s and Limited Exclusive Patent’s patenting expenses, including any interference or reexamination matters, reasonably incurred by Stanford after the Effective Date, other than any such expenses incurred by Stanford for any Terminated Patent Rights:</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 of Forty Seven Patent Matters with respect to the Exclusive Patents;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 of Forty Seven Patent Matters with respect to the Limited Exclusive Patents.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all instances, Stanford will pay the fees prescribed for large entities to the United States Patent and Trademark Office.</w:t>
      </w:r>
    </w:p>
    <w:p>
      <w:pPr>
        <w:spacing w:after="0" w:line="158" w:lineRule="exact"/>
        <w:rPr>
          <w:sz w:val="20"/>
          <w:szCs w:val="20"/>
          <w:color w:val="auto"/>
        </w:rPr>
      </w:pPr>
    </w:p>
    <w:p>
      <w:pPr>
        <w:ind w:left="460" w:right="520" w:hanging="452"/>
        <w:spacing w:after="0" w:line="277" w:lineRule="auto"/>
        <w:tabs>
          <w:tab w:leader="none" w:pos="4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273" w:right="259" w:bottom="1440" w:gutter="0" w:footer="0" w:header="0"/>
        </w:sectPr>
      </w:pPr>
    </w:p>
    <w:bookmarkStart w:id="381" w:name="page382"/>
    <w:bookmarkEnd w:id="381"/>
    <w:p>
      <w:pPr>
        <w:ind w:left="460" w:right="200" w:hanging="445"/>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14.3 </w:t>
      </w:r>
      <w:r>
        <w:rPr>
          <w:rFonts w:ascii="Arial" w:cs="Arial" w:eastAsia="Arial" w:hAnsi="Arial"/>
          <w:sz w:val="18"/>
          <w:szCs w:val="18"/>
          <w:b w:val="1"/>
          <w:bCs w:val="1"/>
          <w:color w:val="auto"/>
        </w:rPr>
        <w:t>Infringement Procedure</w:t>
      </w:r>
      <w:r>
        <w:rPr>
          <w:rFonts w:ascii="Arial" w:cs="Arial" w:eastAsia="Arial" w:hAnsi="Arial"/>
          <w:sz w:val="18"/>
          <w:szCs w:val="18"/>
          <w:color w:val="auto"/>
        </w:rPr>
        <w:t>. Forty Seven will promptly notify Stanford if it believes a third party infringes a Licensed Patent or if a third party files a declaratory judgment action with respect to any Licensed Patent. During the Exclusive term of this Agreement and if Forty Seven is developing Licensed Product, Forty Seven will have the right to institute a suit against or defend any declaratory judgment action initiated by this third party that relates to a Limited Exclusive Patent and/or an Exclusive Patent as provided in Section 14.4 through and including Section 14.9. Without limiting the foregoing, in the event that any action described in this Section 14.3 relates to any claims in the SIRPα Component Patents, the parties agree to meet and discuss any action as to the SIRPα Component Patents, and come to a mutual agreement with respect to such actions before moving forward as provided in Section 14.7.</w:t>
      </w:r>
    </w:p>
    <w:p>
      <w:pPr>
        <w:spacing w:after="0" w:line="95" w:lineRule="exact"/>
        <w:rPr>
          <w:sz w:val="20"/>
          <w:szCs w:val="20"/>
          <w:color w:val="auto"/>
        </w:rPr>
      </w:pPr>
    </w:p>
    <w:p>
      <w:pPr>
        <w:ind w:left="460" w:hanging="445"/>
        <w:spacing w:after="0" w:line="28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b w:val="1"/>
          <w:bCs w:val="1"/>
          <w:color w:val="auto"/>
        </w:rPr>
        <w:t>Forty Seven Suit</w:t>
      </w:r>
      <w:r>
        <w:rPr>
          <w:rFonts w:ascii="Arial" w:cs="Arial" w:eastAsia="Arial" w:hAnsi="Arial"/>
          <w:sz w:val="17"/>
          <w:szCs w:val="17"/>
          <w:color w:val="auto"/>
        </w:rPr>
        <w:t>. Forty Seven, itself or through a designee, has the first right to institute suit, or defend any action for declaratory judgment, relating to the Exclusive Patents and/or the Limited Exclusive Patents, and may name Stanford, subject to the requirements of this Section 14.4, as a party for standing purposes. If Forty Seven decides to institute suit, it will notify Stanford in writing. Forty Seven will bear the entire cost of the litigation. Stanford may be named as a party in a suit initiated by Forty Seven (other than in accordance with Section 14.5 below) only if:</w:t>
      </w:r>
    </w:p>
    <w:p>
      <w:pPr>
        <w:spacing w:after="0" w:line="74" w:lineRule="exact"/>
        <w:rPr>
          <w:sz w:val="20"/>
          <w:szCs w:val="20"/>
          <w:color w:val="auto"/>
        </w:rPr>
      </w:pPr>
    </w:p>
    <w:p>
      <w:pPr>
        <w:ind w:left="900" w:right="300" w:hanging="446"/>
        <w:spacing w:after="0" w:line="277" w:lineRule="auto"/>
        <w:tabs>
          <w:tab w:leader="none" w:pos="9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Forty Seven’s and Stanford’s respective counsel recommend that such action is necessary in their reasonable opinion to achieve standing, or a court has required or will require such joinder to pursue the 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Stanford is not the first named party in the action;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pleadings and any public statements about the action state that Forty Seven is pursuing the action and that Forty Seven has the right to join Stanford as a party.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color w:val="auto"/>
        </w:rPr>
        <w:t>Joint Suit</w:t>
      </w:r>
      <w:r>
        <w:rPr>
          <w:rFonts w:ascii="Arial" w:cs="Arial" w:eastAsia="Arial" w:hAnsi="Arial"/>
          <w:sz w:val="18"/>
          <w:szCs w:val="18"/>
          <w:color w:val="auto"/>
        </w:rPr>
        <w:t>. If Stanford and Forty Seven so agree, they may institute suit or defend the declaratory judgment action jointly. If so, they will:</w:t>
      </w:r>
    </w:p>
    <w:p>
      <w:pPr>
        <w:spacing w:after="0" w:line="135" w:lineRule="exact"/>
        <w:rPr>
          <w:sz w:val="20"/>
          <w:szCs w:val="20"/>
          <w:color w:val="auto"/>
        </w:rPr>
      </w:pPr>
    </w:p>
    <w:p>
      <w:pPr>
        <w:ind w:left="900" w:hanging="446"/>
        <w:spacing w:after="0"/>
        <w:tabs>
          <w:tab w:leader="none" w:pos="9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prosecute the suit in both their names;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bear the out-of-pocket costs [*];</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share any recovery or settlement [*];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agree how they will exercise control over the action.</w:t>
      </w:r>
    </w:p>
    <w:p>
      <w:pPr>
        <w:spacing w:after="0" w:line="127" w:lineRule="exact"/>
        <w:rPr>
          <w:sz w:val="20"/>
          <w:szCs w:val="20"/>
          <w:color w:val="auto"/>
        </w:rPr>
      </w:pPr>
    </w:p>
    <w:p>
      <w:pPr>
        <w:ind w:left="460" w:right="80" w:hanging="445"/>
        <w:spacing w:after="0" w:line="298"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b w:val="1"/>
          <w:bCs w:val="1"/>
          <w:color w:val="auto"/>
        </w:rPr>
        <w:t>Stanford Suit</w:t>
      </w:r>
      <w:r>
        <w:rPr>
          <w:rFonts w:ascii="Arial" w:cs="Arial" w:eastAsia="Arial" w:hAnsi="Arial"/>
          <w:sz w:val="16"/>
          <w:szCs w:val="16"/>
          <w:color w:val="auto"/>
        </w:rPr>
        <w:t>. If Forty Seven does not initiate an enforcement action within [*] days of a request by Stanford to do so or Forty Seven does not elect to control a declaratory judgment action within [*] days of receiving notice that such action has been filed, in each case relating to the Exclusive Patents and/or the Limited Exclusive Patents, Stanford has the right to institute and prosecute such a suit or defend any such declaratory judgment action. If Stanford decides to institute suit, it will notify Forty Seven in writing. If Forty Seven does not notify Stanford in writing that it desires to jointly prosecute the suit within [*] days after the date of the notice, Forty Seven will [*]. Stanford will bear the entire cost of the litigation and will [*].</w:t>
      </w:r>
    </w:p>
    <w:p>
      <w:pPr>
        <w:spacing w:after="0" w:line="60" w:lineRule="exact"/>
        <w:rPr>
          <w:sz w:val="20"/>
          <w:szCs w:val="20"/>
          <w:color w:val="auto"/>
        </w:rPr>
      </w:pPr>
    </w:p>
    <w:p>
      <w:pPr>
        <w:jc w:val="both"/>
        <w:ind w:left="460" w:right="160" w:hanging="445"/>
        <w:spacing w:after="0" w:line="261"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b w:val="1"/>
          <w:bCs w:val="1"/>
          <w:color w:val="auto"/>
        </w:rPr>
        <w:t>SIRP</w:t>
      </w:r>
      <w:r>
        <w:rPr>
          <w:rFonts w:ascii="Arial" w:cs="Arial" w:eastAsia="Arial" w:hAnsi="Arial"/>
          <w:sz w:val="18"/>
          <w:szCs w:val="18"/>
          <w:color w:val="auto"/>
        </w:rPr>
        <w:t xml:space="preserve">α </w:t>
      </w:r>
      <w:r>
        <w:rPr>
          <w:rFonts w:ascii="Arial" w:cs="Arial" w:eastAsia="Arial" w:hAnsi="Arial"/>
          <w:sz w:val="18"/>
          <w:szCs w:val="18"/>
          <w:b w:val="1"/>
          <w:bCs w:val="1"/>
          <w:color w:val="auto"/>
        </w:rPr>
        <w:t>Component Patents Suit</w:t>
      </w:r>
      <w:r>
        <w:rPr>
          <w:rFonts w:ascii="Arial" w:cs="Arial" w:eastAsia="Arial" w:hAnsi="Arial"/>
          <w:sz w:val="18"/>
          <w:szCs w:val="18"/>
          <w:color w:val="auto"/>
        </w:rPr>
        <w:t>. In the event of an infringement or declaratory action relating to a Licensed Patent that is SIRPα Component Patent, Forty Seven and Stanford will advise the other, and will meet to discuss next steps to take about the known or suspected infringement. Such steps will also consider the rights and interests of the one third party licensee to which Stanford has granted a license under the SIRPα Component Patent in the SIRPα Component Field of Use prior to the Effective Date.</w:t>
      </w:r>
    </w:p>
    <w:p>
      <w:pPr>
        <w:spacing w:after="0" w:line="360" w:lineRule="exact"/>
        <w:rPr>
          <w:sz w:val="20"/>
          <w:szCs w:val="20"/>
          <w:color w:val="auto"/>
        </w:rPr>
      </w:pPr>
    </w:p>
    <w:p>
      <w:pPr>
        <w:ind w:left="460" w:right="520" w:hanging="452"/>
        <w:spacing w:after="0" w:line="277" w:lineRule="auto"/>
        <w:tabs>
          <w:tab w:leader="none" w:pos="4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270" w:right="259" w:bottom="1440" w:gutter="0" w:footer="0" w:header="0"/>
        </w:sectPr>
      </w:pPr>
    </w:p>
    <w:bookmarkStart w:id="382" w:name="page383"/>
    <w:bookmarkEnd w:id="382"/>
    <w:p>
      <w:pPr>
        <w:ind w:left="460" w:hanging="445"/>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14.8 </w:t>
      </w:r>
      <w:r>
        <w:rPr>
          <w:rFonts w:ascii="Arial" w:cs="Arial" w:eastAsia="Arial" w:hAnsi="Arial"/>
          <w:sz w:val="18"/>
          <w:szCs w:val="18"/>
          <w:b w:val="1"/>
          <w:bCs w:val="1"/>
          <w:color w:val="auto"/>
        </w:rPr>
        <w:t>Recovery</w:t>
      </w:r>
      <w:r>
        <w:rPr>
          <w:rFonts w:ascii="Arial" w:cs="Arial" w:eastAsia="Arial" w:hAnsi="Arial"/>
          <w:sz w:val="18"/>
          <w:szCs w:val="18"/>
          <w:color w:val="auto"/>
        </w:rPr>
        <w:t>. If Forty Seven sues under Section 14.4, then any recovery in excess of any unrecovered litigation costs and fees will be shared with Stanford as follows:</w:t>
      </w:r>
    </w:p>
    <w:p>
      <w:pPr>
        <w:spacing w:after="0" w:line="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ind w:left="460" w:right="140" w:hanging="445"/>
        <w:spacing w:after="0" w:line="266"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b w:val="1"/>
          <w:bCs w:val="1"/>
          <w:color w:val="auto"/>
        </w:rPr>
        <w:t>Abandonment of Suit</w:t>
      </w:r>
      <w:r>
        <w:rPr>
          <w:rFonts w:ascii="Arial" w:cs="Arial" w:eastAsia="Arial" w:hAnsi="Arial"/>
          <w:sz w:val="18"/>
          <w:szCs w:val="18"/>
          <w:color w:val="auto"/>
        </w:rPr>
        <w:t>. If either Stanford or Forty Seven commences a suit and then wants to abandon the suit, it will give timely notice to the other party. The other party if it so desires may continue prosecution of the suit at its own expense, in which case after Stanford and Forty Seven shall agree on the sharing of expenses and any recovery in the suit.</w:t>
      </w:r>
    </w:p>
    <w:p>
      <w:pPr>
        <w:spacing w:after="0" w:line="325" w:lineRule="exact"/>
        <w:rPr>
          <w:sz w:val="20"/>
          <w:szCs w:val="20"/>
          <w:color w:val="auto"/>
        </w:rPr>
      </w:pPr>
    </w:p>
    <w:p>
      <w:pPr>
        <w:ind w:left="460" w:hanging="452"/>
        <w:spacing w:after="0"/>
        <w:tabs>
          <w:tab w:leader="none" w:pos="46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31" w:lineRule="exact"/>
        <w:rPr>
          <w:sz w:val="20"/>
          <w:szCs w:val="20"/>
          <w:color w:val="auto"/>
        </w:rPr>
      </w:pPr>
    </w:p>
    <w:p>
      <w:pPr>
        <w:ind w:left="460" w:right="400" w:hanging="445"/>
        <w:spacing w:after="0" w:line="282"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Termination by Forty Seven</w:t>
      </w:r>
      <w:r>
        <w:rPr>
          <w:rFonts w:ascii="Arial" w:cs="Arial" w:eastAsia="Arial" w:hAnsi="Arial"/>
          <w:sz w:val="18"/>
          <w:szCs w:val="18"/>
          <w:color w:val="auto"/>
        </w:rPr>
        <w:t>. Forty Seven may terminate this Agreement in its entirety or with respect to any Licensed Patent by giving Stanford written notice at least 30 days in advance of the effective date of termination selected by Forty Seven.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Termination by Stanford</w:t>
      </w:r>
      <w:r>
        <w:rPr>
          <w:rFonts w:ascii="Arial" w:cs="Arial" w:eastAsia="Arial" w:hAnsi="Arial"/>
          <w:sz w:val="18"/>
          <w:szCs w:val="18"/>
          <w:color w:val="auto"/>
        </w:rPr>
        <w:t>.</w:t>
      </w:r>
    </w:p>
    <w:p>
      <w:pPr>
        <w:spacing w:after="0" w:line="135" w:lineRule="exact"/>
        <w:rPr>
          <w:sz w:val="20"/>
          <w:szCs w:val="20"/>
          <w:color w:val="auto"/>
        </w:rPr>
      </w:pPr>
    </w:p>
    <w:p>
      <w:pPr>
        <w:ind w:left="900" w:hanging="446"/>
        <w:spacing w:after="0"/>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Stanford may also terminate this Agreement if Forty Seven on 30 days’ written notice: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is in material default in the payment of amounts due hereunder or the provision on any report;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is not using commercially reasonable efforts in developing and commercializing Licensed Product;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is in material breach of any provision;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provides any materially false report.</w:t>
      </w:r>
    </w:p>
    <w:p>
      <w:pPr>
        <w:spacing w:after="0" w:line="130"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 the event Forty Seven misses a milestone described in Appendix A, Stanford may terminate the license for the applicable Deficient Product under this Agreement for which such milestone was missed and any Licensed Patent(s) solely covering such Deficient Product, subject to Forty Seven’s right to extend the timeline for milestones pursuant to Section 6.1.</w:t>
      </w:r>
    </w:p>
    <w:p>
      <w:pPr>
        <w:spacing w:after="0" w:line="86"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Termination under this Section 15.2 will take effect 30 days after written notice by Stanford unless Forty Seven remedies the problem in that 30-day period.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Surviving Provisions</w:t>
      </w:r>
      <w:r>
        <w:rPr>
          <w:rFonts w:ascii="Arial" w:cs="Arial" w:eastAsia="Arial" w:hAnsi="Arial"/>
          <w:sz w:val="18"/>
          <w:szCs w:val="18"/>
          <w:color w:val="auto"/>
        </w:rPr>
        <w:t>. Surviving any termination or expiration are:</w:t>
      </w:r>
    </w:p>
    <w:p>
      <w:pPr>
        <w:spacing w:after="0" w:line="135" w:lineRule="exact"/>
        <w:rPr>
          <w:sz w:val="20"/>
          <w:szCs w:val="20"/>
          <w:color w:val="auto"/>
        </w:rPr>
      </w:pPr>
    </w:p>
    <w:p>
      <w:pPr>
        <w:ind w:left="900" w:hanging="446"/>
        <w:spacing w:after="0"/>
        <w:tabs>
          <w:tab w:leader="none" w:pos="9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Forty Seven’s obligation to pay royalties accrued or accruable;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any claim of Forty Seven or Stanford, accrued or to accrue, because of any breach or default by the other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provisions of Articles 8, 9, 10, 13, 17, and 19; and Section 3.5 and 15.3.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any Sublicenses granted hereunder.</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 AND NON-ASSIGNABILITY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b w:val="1"/>
          <w:bCs w:val="1"/>
          <w:color w:val="auto"/>
        </w:rPr>
        <w:t>Change of Control</w:t>
      </w:r>
      <w:r>
        <w:rPr>
          <w:rFonts w:ascii="Arial" w:cs="Arial" w:eastAsia="Arial" w:hAnsi="Arial"/>
          <w:sz w:val="17"/>
          <w:szCs w:val="17"/>
          <w:color w:val="auto"/>
        </w:rPr>
        <w:t>. If there is a Change of Control, Forty Seven will [*] upon assignment of this Agreement per Section 16.2. In no event shall [*].</w:t>
      </w:r>
    </w:p>
    <w:p>
      <w:pPr>
        <w:spacing w:after="0" w:line="173" w:lineRule="exact"/>
        <w:rPr>
          <w:sz w:val="20"/>
          <w:szCs w:val="20"/>
          <w:color w:val="auto"/>
        </w:rPr>
      </w:pPr>
    </w:p>
    <w:p>
      <w:pPr>
        <w:ind w:left="460" w:right="520" w:hanging="452"/>
        <w:spacing w:after="0" w:line="277" w:lineRule="auto"/>
        <w:tabs>
          <w:tab w:leader="none" w:pos="4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269" w:right="259" w:bottom="1440" w:gutter="0" w:footer="0" w:header="0"/>
        </w:sectPr>
      </w:pPr>
    </w:p>
    <w:bookmarkStart w:id="383" w:name="page384"/>
    <w:bookmarkEnd w:id="383"/>
    <w:p>
      <w:pPr>
        <w:ind w:left="460" w:hanging="445"/>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16.2 </w:t>
      </w:r>
      <w:r>
        <w:rPr>
          <w:rFonts w:ascii="Arial" w:cs="Arial" w:eastAsia="Arial" w:hAnsi="Arial"/>
          <w:sz w:val="18"/>
          <w:szCs w:val="18"/>
          <w:b w:val="1"/>
          <w:bCs w:val="1"/>
          <w:color w:val="auto"/>
        </w:rPr>
        <w:t>Conditions of Assignment under Change of Control</w:t>
      </w:r>
      <w:r>
        <w:rPr>
          <w:rFonts w:ascii="Arial" w:cs="Arial" w:eastAsia="Arial" w:hAnsi="Arial"/>
          <w:sz w:val="18"/>
          <w:szCs w:val="18"/>
          <w:color w:val="auto"/>
        </w:rPr>
        <w:t>. Forty Seven may assign this Agreement as part of a Change of Control upon prior and complete performance of the following conditions:</w:t>
      </w:r>
    </w:p>
    <w:p>
      <w:pPr>
        <w:spacing w:after="0" w:line="71" w:lineRule="exact"/>
        <w:rPr>
          <w:sz w:val="20"/>
          <w:szCs w:val="20"/>
          <w:color w:val="auto"/>
        </w:rPr>
      </w:pPr>
    </w:p>
    <w:p>
      <w:pPr>
        <w:ind w:left="900" w:hanging="446"/>
        <w:spacing w:after="0"/>
        <w:tabs>
          <w:tab w:leader="none" w:pos="9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Forty Seven must give Stanford [*] written notice of the assignment, including the new assignee’s contact information;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new assignee must agree in writing to Stanford to be bound by this Agreement;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provided that [*] Change of Control under this Agreement only.</w:t>
      </w:r>
    </w:p>
    <w:p>
      <w:pPr>
        <w:spacing w:after="0" w:line="127" w:lineRule="exact"/>
        <w:rPr>
          <w:sz w:val="20"/>
          <w:szCs w:val="20"/>
          <w:color w:val="auto"/>
        </w:rPr>
      </w:pPr>
    </w:p>
    <w:p>
      <w:pPr>
        <w:ind w:left="460" w:right="440" w:hanging="445"/>
        <w:spacing w:after="0" w:line="282"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color w:val="auto"/>
        </w:rPr>
        <w:t>After the Assignment</w:t>
      </w:r>
      <w:r>
        <w:rPr>
          <w:rFonts w:ascii="Arial" w:cs="Arial" w:eastAsia="Arial" w:hAnsi="Arial"/>
          <w:sz w:val="18"/>
          <w:szCs w:val="18"/>
          <w:color w:val="auto"/>
        </w:rPr>
        <w:t>. Upon a permitted assignment of this Agreement pursuant to Article 16, Forty Seven will be released of liability under this Agreement and the term “Forty Seven” in this Agreement will mean the assignee.</w:t>
      </w:r>
    </w:p>
    <w:p>
      <w:pPr>
        <w:spacing w:after="0" w:line="67" w:lineRule="exact"/>
        <w:rPr>
          <w:sz w:val="20"/>
          <w:szCs w:val="20"/>
          <w:color w:val="auto"/>
        </w:rPr>
      </w:pPr>
    </w:p>
    <w:p>
      <w:pPr>
        <w:ind w:left="460" w:right="720" w:hanging="445"/>
        <w:spacing w:after="0" w:line="282"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b w:val="1"/>
          <w:bCs w:val="1"/>
          <w:color w:val="auto"/>
        </w:rPr>
        <w:t>Bankruptcy</w:t>
      </w:r>
      <w:r>
        <w:rPr>
          <w:rFonts w:ascii="Arial" w:cs="Arial" w:eastAsia="Arial" w:hAnsi="Arial"/>
          <w:sz w:val="18"/>
          <w:szCs w:val="18"/>
          <w:color w:val="auto"/>
        </w:rPr>
        <w:t>. In the event of a bankruptcy or insolvency, assignment is permitted only to a party that can provide adequate assurance of future performance, including diligent development and sales of Licensed Product.</w:t>
      </w:r>
    </w:p>
    <w:p>
      <w:pPr>
        <w:spacing w:after="0" w:line="67" w:lineRule="exact"/>
        <w:rPr>
          <w:sz w:val="20"/>
          <w:szCs w:val="20"/>
          <w:color w:val="auto"/>
        </w:rPr>
      </w:pPr>
    </w:p>
    <w:p>
      <w:pPr>
        <w:ind w:left="460" w:right="160" w:hanging="445"/>
        <w:spacing w:after="0" w:line="282"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b w:val="1"/>
          <w:bCs w:val="1"/>
          <w:color w:val="auto"/>
        </w:rPr>
        <w:t>Nonassignability of Agreement</w:t>
      </w:r>
      <w:r>
        <w:rPr>
          <w:rFonts w:ascii="Arial" w:cs="Arial" w:eastAsia="Arial" w:hAnsi="Arial"/>
          <w:sz w:val="18"/>
          <w:szCs w:val="18"/>
          <w:color w:val="auto"/>
        </w:rPr>
        <w:t>. Except in conformity with Sections 16.2 and 16.4, this Agreement is not assignable by Forty Seven under any other circumstances and any attempt to assign this Agreement by Forty Seven is null and void.</w:t>
      </w:r>
    </w:p>
    <w:p>
      <w:pPr>
        <w:spacing w:after="0" w:line="310" w:lineRule="exact"/>
        <w:rPr>
          <w:sz w:val="20"/>
          <w:szCs w:val="20"/>
          <w:color w:val="auto"/>
        </w:rPr>
      </w:pPr>
    </w:p>
    <w:p>
      <w:pPr>
        <w:ind w:left="460" w:hanging="452"/>
        <w:spacing w:after="0"/>
        <w:tabs>
          <w:tab w:leader="none" w:pos="460"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1" w:lineRule="exact"/>
        <w:rPr>
          <w:sz w:val="20"/>
          <w:szCs w:val="20"/>
          <w:color w:val="auto"/>
        </w:rPr>
      </w:pPr>
    </w:p>
    <w:p>
      <w:pPr>
        <w:ind w:left="460" w:hanging="445"/>
        <w:spacing w:after="0" w:line="271"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b w:val="1"/>
          <w:bCs w:val="1"/>
          <w:color w:val="auto"/>
        </w:rPr>
        <w:t>Dispute Resolution by Arbitration</w:t>
      </w:r>
      <w:r>
        <w:rPr>
          <w:rFonts w:ascii="Arial" w:cs="Arial" w:eastAsia="Arial" w:hAnsi="Arial"/>
          <w:sz w:val="17"/>
          <w:szCs w:val="17"/>
          <w:color w:val="auto"/>
        </w:rPr>
        <w:t xml:space="preserve">. Subject to Section 17.5, any dispute between the parties regarding [*], or regarding [*] under this Agreement will be settled by arbitration in accordance with the JAMS Arbitration Rules and Procedures. In addition, if Forty Seven disputes in good faith any alleged material breach or default of the Agreement within the [*] cure period specified in Section 15.2 such dispute shall settled by arbitration in accordance with the JAMS Arbitration Rules and Procedures (“Disputed Breach Arbitration”) and this Agreement shall not terminate until the arbitrator determines that such default or material breach was committed, and Forty Seven fails to cure such breach within [*] after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Parties will use good faith efforts to complete the Disputed Breach Arbitration within [*] following the initiation of such arbitration, and will instruct the arbitrator to establish reasonable procedures to facilitate and complete such arbitration within such [*] period. The parties are not obligated to settle any other dispute that may arise under this Agreement by arbitration. Notwithstanding the foregoing, no dispute affecting the rights or property of HHMI shall be subject to the arbitration provisions set forth in this Article 17.</w:t>
      </w:r>
    </w:p>
    <w:p>
      <w:pPr>
        <w:spacing w:after="0" w:line="80" w:lineRule="exact"/>
        <w:rPr>
          <w:sz w:val="20"/>
          <w:szCs w:val="20"/>
          <w:color w:val="auto"/>
        </w:rPr>
      </w:pPr>
    </w:p>
    <w:p>
      <w:pPr>
        <w:ind w:left="460" w:right="80" w:hanging="445"/>
        <w:spacing w:after="0" w:line="347"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b w:val="1"/>
          <w:bCs w:val="1"/>
          <w:color w:val="auto"/>
        </w:rPr>
        <w:t>Request for Arbitration</w:t>
      </w:r>
      <w:r>
        <w:rPr>
          <w:rFonts w:ascii="Arial" w:cs="Arial" w:eastAsia="Arial" w:hAnsi="Arial"/>
          <w:sz w:val="16"/>
          <w:szCs w:val="16"/>
          <w:color w:val="auto"/>
        </w:rPr>
        <w:t>. Either party may request such arbitration. Stanford and Forty Seven will mutually agree in writing on a third party arbitrator within [*] of the arbitration request. The arbitrator’s decision will be final and nonappealable and may be entered in any court having jurisdiction.</w:t>
      </w:r>
    </w:p>
    <w:p>
      <w:pPr>
        <w:spacing w:after="0" w:line="22" w:lineRule="exact"/>
        <w:rPr>
          <w:sz w:val="20"/>
          <w:szCs w:val="20"/>
          <w:color w:val="auto"/>
        </w:rPr>
      </w:pPr>
    </w:p>
    <w:p>
      <w:pPr>
        <w:ind w:left="460" w:right="200" w:hanging="445"/>
        <w:spacing w:after="0" w:line="282"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Discovery</w:t>
      </w:r>
      <w:r>
        <w:rPr>
          <w:rFonts w:ascii="Arial" w:cs="Arial" w:eastAsia="Arial" w:hAnsi="Arial"/>
          <w:sz w:val="18"/>
          <w:szCs w:val="18"/>
          <w:color w:val="auto"/>
        </w:rPr>
        <w:t>. The parties will be entitled to discovery as if the arbitration were a civil suit in the California Superior Court. The arbitrator may limit the scope, time, and issues involved in discovery.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b w:val="1"/>
          <w:bCs w:val="1"/>
          <w:color w:val="auto"/>
        </w:rPr>
        <w:t>Place of Arbitration</w:t>
      </w:r>
      <w:r>
        <w:rPr>
          <w:rFonts w:ascii="Arial" w:cs="Arial" w:eastAsia="Arial" w:hAnsi="Arial"/>
          <w:sz w:val="18"/>
          <w:szCs w:val="18"/>
          <w:color w:val="auto"/>
        </w:rPr>
        <w:t>. The arbitration will be held in Stanford, California unless the parties mutually agree in writing to another place.</w:t>
      </w:r>
    </w:p>
    <w:p>
      <w:pPr>
        <w:spacing w:after="0" w:line="131" w:lineRule="exact"/>
        <w:rPr>
          <w:sz w:val="20"/>
          <w:szCs w:val="20"/>
          <w:color w:val="auto"/>
        </w:rPr>
      </w:pPr>
    </w:p>
    <w:p>
      <w:pPr>
        <w:ind w:left="460" w:right="20" w:hanging="445"/>
        <w:spacing w:after="0" w:line="282"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color w:val="auto"/>
        </w:rPr>
        <w:t>Patent Validity</w:t>
      </w:r>
      <w:r>
        <w:rPr>
          <w:rFonts w:ascii="Arial" w:cs="Arial" w:eastAsia="Arial" w:hAnsi="Arial"/>
          <w:sz w:val="18"/>
          <w:szCs w:val="18"/>
          <w:color w:val="auto"/>
        </w:rPr>
        <w:t>. Any dispute regarding the validity of any Licensed Patent shall be litigated in the courts located in Santa Clara County, California, and the parties agree not to challenge personal jurisdiction in that forum.</w:t>
      </w:r>
    </w:p>
    <w:p>
      <w:pPr>
        <w:spacing w:after="0" w:line="98" w:lineRule="exact"/>
        <w:rPr>
          <w:sz w:val="20"/>
          <w:szCs w:val="20"/>
          <w:color w:val="auto"/>
        </w:rPr>
      </w:pPr>
    </w:p>
    <w:p>
      <w:pPr>
        <w:ind w:left="460" w:right="520" w:hanging="452"/>
        <w:spacing w:after="0" w:line="277" w:lineRule="auto"/>
        <w:tabs>
          <w:tab w:leader="none" w:pos="4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270" w:right="259" w:bottom="1440" w:gutter="0" w:footer="0" w:header="0"/>
        </w:sectPr>
      </w:pPr>
    </w:p>
    <w:bookmarkStart w:id="384" w:name="page385"/>
    <w:bookmarkEnd w:id="384"/>
    <w:p>
      <w:pPr>
        <w:ind w:left="460" w:hanging="452"/>
        <w:spacing w:after="0"/>
        <w:tabs>
          <w:tab w:leader="none" w:pos="46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p>
    <w:p>
      <w:pPr>
        <w:spacing w:after="0" w:line="131" w:lineRule="exact"/>
        <w:rPr>
          <w:sz w:val="20"/>
          <w:szCs w:val="20"/>
          <w:color w:val="auto"/>
        </w:rPr>
      </w:pPr>
    </w:p>
    <w:p>
      <w:pPr>
        <w:ind w:left="460" w:hanging="445"/>
        <w:spacing w:after="0" w:line="282"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Legal Action</w:t>
      </w:r>
      <w:r>
        <w:rPr>
          <w:rFonts w:ascii="Arial" w:cs="Arial" w:eastAsia="Arial" w:hAnsi="Arial"/>
          <w:sz w:val="18"/>
          <w:szCs w:val="18"/>
          <w:color w:val="auto"/>
        </w:rPr>
        <w:t>. Forty Seven will provide written notice to Stanford at least [*] prior to bringing an action seeking to invalidate any Licensed Patent or a declaration of non-infringement. Forty Seven will include with such written notice [*].</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b w:val="1"/>
          <w:bCs w:val="1"/>
          <w:color w:val="auto"/>
        </w:rPr>
        <w:t>All Notices</w:t>
      </w:r>
      <w:r>
        <w:rPr>
          <w:rFonts w:ascii="Arial" w:cs="Arial" w:eastAsia="Arial" w:hAnsi="Arial"/>
          <w:sz w:val="18"/>
          <w:szCs w:val="18"/>
          <w:color w:val="auto"/>
        </w:rPr>
        <w:t>. All notices under this Agreement are deemed fully given when written, addressed, and sent as follows: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general notices to Forty Seven are mailed or emailed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Jonathan MacQuitty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Forty Seven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Vern Norviel</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Wilson Sonsini Goodrich &amp; Rosati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vnorviel@wsgr.com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financial invoices to Forty Seven (i.e., accounting contact) are e-mailed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Jonathan MacQuitty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progress report invoices to Forty Seven (i.e., technical contact) are e-mailed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Jonathan MacQuitty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general notices to Stanford are e-mailed or mailed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 of Technology Licensing</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3000 El Camino Real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 5, Suite 300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Palo Alto, CA 94306-2100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info@otlmail.stanford.edu</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payments to Stanford are mailed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Stanford University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 of Technology Licensing</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Department #44439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 Box 44000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Francisco, CA 94144-4439</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progress reports to Stanford are e-mailed or mailed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 of Technology Licensing</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3000 El Camino Real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 5, Suite 300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Palo Alto, CA 94306-2100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info@otlmail.stanford.edu</w:t>
      </w:r>
    </w:p>
    <w:p>
      <w:pPr>
        <w:spacing w:after="0" w:line="143" w:lineRule="exact"/>
        <w:rPr>
          <w:sz w:val="20"/>
          <w:szCs w:val="20"/>
          <w:color w:val="auto"/>
        </w:rPr>
      </w:pPr>
    </w:p>
    <w:p>
      <w:pPr>
        <w:ind w:left="460" w:right="420" w:hanging="452"/>
        <w:spacing w:after="0" w:line="277" w:lineRule="auto"/>
        <w:tabs>
          <w:tab w:leader="none" w:pos="4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00"/>
          </w:cols>
          <w:pgMar w:left="240" w:top="270" w:right="359" w:bottom="1440" w:gutter="0" w:footer="0" w:header="0"/>
        </w:sectPr>
      </w:pPr>
    </w:p>
    <w:bookmarkStart w:id="385" w:name="page386"/>
    <w:bookmarkEnd w:id="3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notice related to Section 7.4 or Section 7.5 (Stanford Purchase Rights) shall be copied concurrently to pvfnotices@stanford.edu</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Either party may change its address with written notice to the other party.</w:t>
      </w:r>
    </w:p>
    <w:p>
      <w:pPr>
        <w:spacing w:after="0" w:line="370" w:lineRule="exact"/>
        <w:rPr>
          <w:sz w:val="20"/>
          <w:szCs w:val="20"/>
          <w:color w:val="auto"/>
        </w:rPr>
      </w:pPr>
    </w:p>
    <w:p>
      <w:pPr>
        <w:ind w:left="460" w:hanging="452"/>
        <w:spacing w:after="0"/>
        <w:tabs>
          <w:tab w:leader="none" w:pos="460"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b w:val="1"/>
          <w:bCs w:val="1"/>
          <w:color w:val="auto"/>
        </w:rPr>
        <w:t>Confidentiality</w:t>
      </w:r>
      <w:r>
        <w:rPr>
          <w:rFonts w:ascii="Arial" w:cs="Arial" w:eastAsia="Arial" w:hAnsi="Arial"/>
          <w:sz w:val="16"/>
          <w:szCs w:val="16"/>
          <w:color w:val="auto"/>
        </w:rPr>
        <w:t>. Stanford shall maintain the terms of this Agreement as well as the reports and any information provided by Forty Seven to Stanford</w:t>
      </w:r>
    </w:p>
    <w:p>
      <w:pPr>
        <w:spacing w:after="0" w:line="50" w:lineRule="exact"/>
        <w:rPr>
          <w:sz w:val="20"/>
          <w:szCs w:val="20"/>
          <w:color w:val="auto"/>
        </w:rPr>
      </w:pPr>
    </w:p>
    <w:p>
      <w:pPr>
        <w:ind w:left="460" w:right="60"/>
        <w:spacing w:after="0" w:line="292" w:lineRule="auto"/>
        <w:rPr>
          <w:sz w:val="20"/>
          <w:szCs w:val="20"/>
          <w:color w:val="auto"/>
        </w:rPr>
      </w:pPr>
      <w:r>
        <w:rPr>
          <w:rFonts w:ascii="Arial" w:cs="Arial" w:eastAsia="Arial" w:hAnsi="Arial"/>
          <w:sz w:val="16"/>
          <w:szCs w:val="16"/>
          <w:color w:val="auto"/>
        </w:rPr>
        <w:t>hereunder, including information provided pursuant to Sections 4.5, 6.2, 8.1, 8.3, 8.5, and 8.7 of this Agreement, and the Licensed Information (including without limitation the IND, as defined in Appendix E), in confidence and not disclose such information or reports to any third party, except as required by law and except that Stanford may share the terms of this Agreement with HHMI under terms of confidentiality. Stanford’s obligation of confidentiality hereunder shall be fulfilled by using at least the same degree of care with Forty Seven’s confidential information as Stanford uses to protect its own confidential information. Stanford’s shall have no obligation hereunder to refrain from disclosing or using the following:</w:t>
      </w:r>
    </w:p>
    <w:p>
      <w:pPr>
        <w:spacing w:after="0" w:line="68" w:lineRule="exact"/>
        <w:rPr>
          <w:sz w:val="20"/>
          <w:szCs w:val="20"/>
          <w:color w:val="auto"/>
        </w:rPr>
      </w:pPr>
    </w:p>
    <w:p>
      <w:pPr>
        <w:ind w:left="900" w:hanging="446"/>
        <w:spacing w:after="0"/>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Information that, at the time of disclosure, is generally available to the public;</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Information that becomes part of the public domain or publicly known or available by publication or otherwise, not due to any unauthorized act or omission on the part of Stanford;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Information that is disclosed to the Stanford by third parties who was not under a duty of confidentiality to Forty Seven;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Information that has been independently developed by Stanford without use of or reference to information provided by Forty Seven;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Information that is required to be disclosed by a court of competent jurisdiction.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color w:val="auto"/>
        </w:rPr>
        <w:t>Waiver</w:t>
      </w:r>
      <w:r>
        <w:rPr>
          <w:rFonts w:ascii="Arial" w:cs="Arial" w:eastAsia="Arial" w:hAnsi="Arial"/>
          <w:sz w:val="18"/>
          <w:szCs w:val="18"/>
          <w:color w:val="auto"/>
        </w:rPr>
        <w:t>. No term of this Agreement can be waived except by the written consent of the party waiving compliance.</w:t>
      </w:r>
    </w:p>
    <w:p>
      <w:pPr>
        <w:spacing w:after="0" w:line="131" w:lineRule="exact"/>
        <w:rPr>
          <w:sz w:val="20"/>
          <w:szCs w:val="20"/>
          <w:color w:val="auto"/>
        </w:rPr>
      </w:pPr>
    </w:p>
    <w:p>
      <w:pPr>
        <w:ind w:left="460" w:right="100" w:hanging="445"/>
        <w:spacing w:after="0" w:line="266"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color w:val="auto"/>
        </w:rPr>
        <w:t>Third Party Beneficiary</w:t>
      </w:r>
      <w:r>
        <w:rPr>
          <w:rFonts w:ascii="Arial" w:cs="Arial" w:eastAsia="Arial" w:hAnsi="Arial"/>
          <w:sz w:val="18"/>
          <w:szCs w:val="18"/>
          <w:color w:val="auto"/>
        </w:rPr>
        <w:t>. HHMI is not a party to this Agreement and has no liability to any licensee, sublicensee, or user of anything covered by this Agreement, but HHMI is an intended third-party beneficiary of this Agreement and certain of its provisions are for the benefit of HHMI and are enforceable by HHMI in its own name.</w:t>
      </w:r>
    </w:p>
    <w:p>
      <w:pPr>
        <w:spacing w:after="0" w:line="82" w:lineRule="exact"/>
        <w:rPr>
          <w:sz w:val="20"/>
          <w:szCs w:val="20"/>
          <w:color w:val="auto"/>
        </w:rPr>
      </w:pPr>
    </w:p>
    <w:p>
      <w:pPr>
        <w:ind w:left="460" w:right="680" w:hanging="445"/>
        <w:spacing w:after="0" w:line="282"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any dispute arising under it is governed by the laws of the State of California, United States of America, applicable to agreements negotiated, executed, and performed within California.</w:t>
      </w:r>
    </w:p>
    <w:p>
      <w:pPr>
        <w:spacing w:after="0" w:line="67" w:lineRule="exact"/>
        <w:rPr>
          <w:sz w:val="20"/>
          <w:szCs w:val="20"/>
          <w:color w:val="auto"/>
        </w:rPr>
      </w:pPr>
    </w:p>
    <w:p>
      <w:pPr>
        <w:ind w:left="460" w:hanging="445"/>
        <w:spacing w:after="0" w:line="303" w:lineRule="auto"/>
        <w:rPr>
          <w:sz w:val="20"/>
          <w:szCs w:val="20"/>
          <w:color w:val="auto"/>
        </w:rPr>
      </w:pPr>
      <w:r>
        <w:rPr>
          <w:rFonts w:ascii="Arial" w:cs="Arial" w:eastAsia="Arial" w:hAnsi="Arial"/>
          <w:sz w:val="16"/>
          <w:szCs w:val="16"/>
          <w:color w:val="auto"/>
        </w:rPr>
        <w:t xml:space="preserve">19.5 </w:t>
      </w:r>
      <w:r>
        <w:rPr>
          <w:rFonts w:ascii="Arial" w:cs="Arial" w:eastAsia="Arial" w:hAnsi="Arial"/>
          <w:sz w:val="16"/>
          <w:szCs w:val="16"/>
          <w:b w:val="1"/>
          <w:bCs w:val="1"/>
          <w:color w:val="auto"/>
        </w:rPr>
        <w:t>Entire Agreement</w:t>
      </w:r>
      <w:r>
        <w:rPr>
          <w:rFonts w:ascii="Arial" w:cs="Arial" w:eastAsia="Arial" w:hAnsi="Arial"/>
          <w:sz w:val="16"/>
          <w:szCs w:val="16"/>
          <w:color w:val="auto"/>
        </w:rPr>
        <w:t>. The parties have read this Agreement and agree to be bound by its terms, and further agree that it constitutes the complete and entire agreement of the parties and supersedes all previous communications, oral or written, and all other communications between them relating to the license and to the subject hereof. This Agreement may not be amended except by writing executed by authorized representatives of both parties. No representations or statements of any kind made by either party, which are not expressly stated herein, will be binding on such party.</w:t>
      </w:r>
    </w:p>
    <w:p>
      <w:pPr>
        <w:spacing w:after="0" w:line="88" w:lineRule="exact"/>
        <w:rPr>
          <w:sz w:val="20"/>
          <w:szCs w:val="20"/>
          <w:color w:val="auto"/>
        </w:rPr>
      </w:pPr>
    </w:p>
    <w:p>
      <w:pPr>
        <w:ind w:left="460" w:right="460" w:hanging="452"/>
        <w:spacing w:after="0" w:line="277" w:lineRule="auto"/>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40"/>
          </w:cols>
          <w:pgMar w:left="240" w:top="273" w:right="319" w:bottom="1440" w:gutter="0" w:footer="0" w:header="0"/>
        </w:sectPr>
      </w:pPr>
    </w:p>
    <w:bookmarkStart w:id="386" w:name="page387"/>
    <w:bookmarkEnd w:id="386"/>
    <w:p>
      <w:pPr>
        <w:jc w:val="both"/>
        <w:ind w:left="460" w:hanging="445"/>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19.6 </w:t>
      </w:r>
      <w:r>
        <w:rPr>
          <w:rFonts w:ascii="Arial" w:cs="Arial" w:eastAsia="Arial" w:hAnsi="Arial"/>
          <w:sz w:val="18"/>
          <w:szCs w:val="18"/>
          <w:b w:val="1"/>
          <w:bCs w:val="1"/>
          <w:color w:val="auto"/>
        </w:rPr>
        <w:t>Exclusive Forum</w:t>
      </w:r>
      <w:r>
        <w:rPr>
          <w:rFonts w:ascii="Arial" w:cs="Arial" w:eastAsia="Arial" w:hAnsi="Arial"/>
          <w:sz w:val="18"/>
          <w:szCs w:val="18"/>
          <w:color w:val="auto"/>
        </w:rPr>
        <w:t>. The state and federal courts having jurisdiction over Stanford, California, United States of America, provide the exclusive forum for any court action between the parties relating to this Agreement. Forty Seven submits to the jurisdiction of such courts, and waives any claim that such a court lacks jurisdiction over Forty Seven or constitutes an inconvenient or improper forum.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19.7  </w:t>
      </w:r>
      <w:r>
        <w:rPr>
          <w:rFonts w:ascii="Arial" w:cs="Arial" w:eastAsia="Arial" w:hAnsi="Arial"/>
          <w:sz w:val="18"/>
          <w:szCs w:val="18"/>
          <w:b w:val="1"/>
          <w:bCs w:val="1"/>
          <w:color w:val="auto"/>
        </w:rPr>
        <w:t>Headings</w:t>
      </w:r>
      <w:r>
        <w:rPr>
          <w:rFonts w:ascii="Arial" w:cs="Arial" w:eastAsia="Arial" w:hAnsi="Arial"/>
          <w:sz w:val="18"/>
          <w:szCs w:val="18"/>
          <w:color w:val="auto"/>
        </w:rPr>
        <w:t>. No headings in this Agreement affect its interpretation.</w:t>
      </w:r>
    </w:p>
    <w:p>
      <w:pPr>
        <w:spacing w:after="0" w:line="131" w:lineRule="exact"/>
        <w:rPr>
          <w:sz w:val="20"/>
          <w:szCs w:val="20"/>
          <w:color w:val="auto"/>
        </w:rPr>
      </w:pPr>
    </w:p>
    <w:p>
      <w:pPr>
        <w:ind w:left="460" w:right="140" w:hanging="445"/>
        <w:spacing w:after="0" w:line="266" w:lineRule="auto"/>
        <w:rPr>
          <w:sz w:val="20"/>
          <w:szCs w:val="20"/>
          <w:color w:val="auto"/>
        </w:rPr>
      </w:pPr>
      <w:r>
        <w:rPr>
          <w:rFonts w:ascii="Arial" w:cs="Arial" w:eastAsia="Arial" w:hAnsi="Arial"/>
          <w:sz w:val="18"/>
          <w:szCs w:val="18"/>
          <w:color w:val="auto"/>
        </w:rPr>
        <w:t xml:space="preserve">19.8 </w:t>
      </w:r>
      <w:r>
        <w:rPr>
          <w:rFonts w:ascii="Arial" w:cs="Arial" w:eastAsia="Arial" w:hAnsi="Arial"/>
          <w:sz w:val="18"/>
          <w:szCs w:val="18"/>
          <w:b w:val="1"/>
          <w:bCs w:val="1"/>
          <w:color w:val="auto"/>
        </w:rPr>
        <w:t>Electronic Copy</w:t>
      </w:r>
      <w:r>
        <w:rPr>
          <w:rFonts w:ascii="Arial" w:cs="Arial" w:eastAsia="Arial" w:hAnsi="Arial"/>
          <w:sz w:val="18"/>
          <w:szCs w:val="18"/>
          <w:color w:val="auto"/>
        </w:rPr>
        <w:t>. The parties to this document agree that a copy of the original signature (including an electronic copy) may be used for any and all purposes for which the original signature may have been used. The parties further waive any right to challenge the admissibility or authenticity of this document in a court of law based solely on the absence of an original signature.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parties execute this Agreement in duplicate originals by their duly authorized officers or representatives.</w:t>
      </w:r>
    </w:p>
    <w:p>
      <w:pPr>
        <w:spacing w:after="0" w:line="248"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THE BOARD OF TRUSTEES OF THE LELAND</w:t>
      </w:r>
    </w:p>
    <w:p>
      <w:pPr>
        <w:spacing w:after="0" w:line="2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STANFORD JUNIOR UNIVERSITY</w:t>
      </w:r>
    </w:p>
    <w:p>
      <w:pPr>
        <w:spacing w:after="0" w:line="21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i w:val="1"/>
          <w:iCs w:val="1"/>
          <w:color w:val="auto"/>
        </w:rPr>
        <w:t>/s/ Katherine Ku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-10160</wp:posOffset>
            </wp:positionV>
            <wp:extent cx="155575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9">
                      <a:extLst>
                        <a:ext uri="{28A0092B-C50C-407E-A947-70E740481C1C}"/>
                      </a:extLst>
                    </a:blip>
                    <a:srcRect/>
                    <a:stretch>
                      <a:fillRect/>
                    </a:stretch>
                  </pic:blipFill>
                  <pic:spPr bwMode="auto">
                    <a:xfrm>
                      <a:off x="0" y="0"/>
                      <a:ext cx="1555750" cy="8890"/>
                    </a:xfrm>
                    <a:prstGeom prst="rect">
                      <a:avLst/>
                    </a:prstGeom>
                    <a:noFill/>
                  </pic:spPr>
                </pic:pic>
              </a:graphicData>
            </a:graphic>
          </wp:anchor>
        </w:drawing>
      </w:r>
    </w:p>
    <w:p>
      <w:pPr>
        <w:spacing w:after="0" w:line="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Name: Katherine Ku</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Date: November 19, 2015</w:t>
      </w:r>
    </w:p>
    <w:p>
      <w:pPr>
        <w:spacing w:after="0" w:line="22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FORTY SEVEN, INC.</w:t>
      </w:r>
    </w:p>
    <w:p>
      <w:pPr>
        <w:spacing w:after="0" w:line="22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i w:val="1"/>
          <w:iCs w:val="1"/>
          <w:color w:val="auto"/>
        </w:rPr>
        <w:t>/s/ Jonathan MacQuitty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-10160</wp:posOffset>
            </wp:positionV>
            <wp:extent cx="16510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0">
                      <a:extLst>
                        <a:ext uri="{28A0092B-C50C-407E-A947-70E740481C1C}"/>
                      </a:extLst>
                    </a:blip>
                    <a:srcRect/>
                    <a:stretch>
                      <a:fillRect/>
                    </a:stretch>
                  </pic:blipFill>
                  <pic:spPr bwMode="auto">
                    <a:xfrm>
                      <a:off x="0" y="0"/>
                      <a:ext cx="1651000" cy="8890"/>
                    </a:xfrm>
                    <a:prstGeom prst="rect">
                      <a:avLst/>
                    </a:prstGeom>
                    <a:noFill/>
                  </pic:spPr>
                </pic:pic>
              </a:graphicData>
            </a:graphic>
          </wp:anchor>
        </w:drawing>
      </w:r>
    </w:p>
    <w:p>
      <w:pPr>
        <w:spacing w:after="0" w:line="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Name: Jonathan MacQuitty</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Date: November 19, 2015</w:t>
      </w:r>
    </w:p>
    <w:p>
      <w:pPr>
        <w:spacing w:after="0" w:line="158" w:lineRule="exact"/>
        <w:rPr>
          <w:sz w:val="20"/>
          <w:szCs w:val="20"/>
          <w:color w:val="auto"/>
        </w:rPr>
      </w:pPr>
    </w:p>
    <w:p>
      <w:pPr>
        <w:ind w:left="460" w:right="500" w:hanging="452"/>
        <w:spacing w:after="0" w:line="277" w:lineRule="auto"/>
        <w:tabs>
          <w:tab w:leader="none" w:pos="4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80"/>
          </w:cols>
          <w:pgMar w:left="240" w:top="270" w:right="279" w:bottom="1440" w:gutter="0" w:footer="0" w:header="0"/>
        </w:sectPr>
      </w:pPr>
    </w:p>
    <w:bookmarkStart w:id="387" w:name="page388"/>
    <w:bookmarkEnd w:id="387"/>
    <w:p>
      <w:pPr>
        <w:ind w:left="47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 - Milestones</w:t>
      </w:r>
    </w:p>
    <w:p>
      <w:pPr>
        <w:spacing w:after="0" w:line="22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52" w:hanging="452"/>
        <w:spacing w:after="0" w:line="277" w:lineRule="auto"/>
        <w:tabs>
          <w:tab w:leader="none" w:pos="45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872"/>
          </w:cols>
          <w:pgMar w:left="248" w:top="269" w:right="779" w:bottom="1440" w:gutter="0" w:footer="0" w:header="0"/>
        </w:sectPr>
      </w:pPr>
    </w:p>
    <w:bookmarkStart w:id="388" w:name="page389"/>
    <w:bookmarkEnd w:id="388"/>
    <w:p>
      <w:pPr>
        <w:ind w:left="4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 – Sample Reporting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Stanford Docket No.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provided pursuant to the license agreement between Stanford University and (Company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 of Licensed Products being reported: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gridSpan w:val="3"/>
          </w:tcPr>
          <w:p>
            <w:pPr>
              <w:ind w:left="1840"/>
              <w:spacing w:after="0"/>
              <w:rPr>
                <w:sz w:val="20"/>
                <w:szCs w:val="20"/>
                <w:color w:val="auto"/>
              </w:rPr>
            </w:pPr>
            <w:r>
              <w:rPr>
                <w:rFonts w:ascii="Arial" w:cs="Arial" w:eastAsia="Arial" w:hAnsi="Arial"/>
                <w:sz w:val="14"/>
                <w:szCs w:val="14"/>
                <w:color w:val="auto"/>
              </w:rPr>
              <w:t>Report Covering Period</w:t>
            </w:r>
          </w:p>
        </w:tc>
        <w:tc>
          <w:tcPr>
            <w:tcW w:w="3040" w:type="dxa"/>
            <w:vAlign w:val="bottom"/>
          </w:tcPr>
          <w:p>
            <w:pPr>
              <w:spacing w:after="0"/>
              <w:rPr>
                <w:sz w:val="14"/>
                <w:szCs w:val="14"/>
                <w:color w:val="auto"/>
              </w:rPr>
            </w:pPr>
          </w:p>
        </w:tc>
      </w:tr>
      <w:tr>
        <w:trPr>
          <w:trHeight w:val="196"/>
        </w:trPr>
        <w:tc>
          <w:tcPr>
            <w:tcW w:w="1840" w:type="dxa"/>
            <w:vAlign w:val="bottom"/>
          </w:tcPr>
          <w:p>
            <w:pPr>
              <w:spacing w:after="0"/>
              <w:rPr>
                <w:sz w:val="17"/>
                <w:szCs w:val="17"/>
                <w:color w:val="auto"/>
              </w:rPr>
            </w:pPr>
          </w:p>
        </w:tc>
        <w:tc>
          <w:tcPr>
            <w:tcW w:w="1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4"/>
              </w:rPr>
              <w:t>Yearly Maintenance</w:t>
            </w:r>
          </w:p>
        </w:tc>
        <w:tc>
          <w:tcPr>
            <w:tcW w:w="336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Fee</w:t>
            </w:r>
          </w:p>
        </w:tc>
        <w:tc>
          <w:tcPr>
            <w:tcW w:w="3040" w:type="dxa"/>
            <w:vAlign w:val="bottom"/>
            <w:tcBorders>
              <w:top w:val="single" w:sz="8" w:color="CCEEFF"/>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w:t>
            </w:r>
          </w:p>
        </w:tc>
      </w:tr>
      <w:tr>
        <w:trPr>
          <w:trHeight w:val="216"/>
        </w:trPr>
        <w:tc>
          <w:tcPr>
            <w:tcW w:w="18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Number of Sublicenses Executed</w:t>
            </w:r>
          </w:p>
        </w:tc>
        <w:tc>
          <w:tcPr>
            <w:tcW w:w="3040" w:type="dxa"/>
            <w:vAlign w:val="bottom"/>
          </w:tcPr>
          <w:p>
            <w:pPr>
              <w:spacing w:after="0"/>
              <w:rPr>
                <w:sz w:val="18"/>
                <w:szCs w:val="18"/>
                <w:color w:val="auto"/>
              </w:rPr>
            </w:pPr>
          </w:p>
        </w:tc>
      </w:tr>
      <w:tr>
        <w:trPr>
          <w:trHeight w:val="202"/>
        </w:trPr>
        <w:tc>
          <w:tcPr>
            <w:tcW w:w="1840" w:type="dxa"/>
            <w:vAlign w:val="bottom"/>
          </w:tcPr>
          <w:p>
            <w:pPr>
              <w:spacing w:after="0"/>
              <w:rPr>
                <w:sz w:val="17"/>
                <w:szCs w:val="17"/>
                <w:color w:val="auto"/>
              </w:rPr>
            </w:pPr>
          </w:p>
        </w:tc>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Gross Revenue</w:t>
            </w:r>
          </w:p>
        </w:tc>
        <w:tc>
          <w:tcPr>
            <w:tcW w:w="3040" w:type="dxa"/>
            <w:vAlign w:val="bottom"/>
            <w:shd w:val="clear" w:color="auto" w:fill="CCEEFF"/>
          </w:tcPr>
          <w:p>
            <w:pPr>
              <w:spacing w:after="0"/>
              <w:rPr>
                <w:sz w:val="17"/>
                <w:szCs w:val="17"/>
                <w:color w:val="auto"/>
              </w:rPr>
            </w:pPr>
          </w:p>
        </w:tc>
      </w:tr>
      <w:tr>
        <w:trPr>
          <w:trHeight w:val="216"/>
        </w:trPr>
        <w:tc>
          <w:tcPr>
            <w:tcW w:w="1840" w:type="dxa"/>
            <w:vAlign w:val="bottom"/>
          </w:tcPr>
          <w:p>
            <w:pPr>
              <w:spacing w:after="0"/>
              <w:rPr>
                <w:sz w:val="18"/>
                <w:szCs w:val="18"/>
                <w:color w:val="auto"/>
              </w:rPr>
            </w:pP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Gross Revenue</w:t>
            </w:r>
          </w:p>
        </w:tc>
        <w:tc>
          <w:tcPr>
            <w:tcW w:w="3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44"/>
        </w:trPr>
        <w:tc>
          <w:tcPr>
            <w:tcW w:w="1840" w:type="dxa"/>
            <w:vAlign w:val="bottom"/>
          </w:tcPr>
          <w:p>
            <w:pPr>
              <w:spacing w:after="0"/>
              <w:rPr>
                <w:sz w:val="21"/>
                <w:szCs w:val="21"/>
                <w:color w:val="auto"/>
              </w:rPr>
            </w:pP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Non-U.S. Gross Revenue</w:t>
            </w:r>
          </w:p>
        </w:tc>
        <w:tc>
          <w:tcPr>
            <w:tcW w:w="3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02"/>
        </w:trPr>
        <w:tc>
          <w:tcPr>
            <w:tcW w:w="1840" w:type="dxa"/>
            <w:vAlign w:val="bottom"/>
          </w:tcPr>
          <w:p>
            <w:pPr>
              <w:spacing w:after="0"/>
              <w:rPr>
                <w:sz w:val="17"/>
                <w:szCs w:val="17"/>
                <w:color w:val="auto"/>
              </w:rPr>
            </w:pPr>
          </w:p>
        </w:tc>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Net Sales</w:t>
            </w:r>
          </w:p>
        </w:tc>
        <w:tc>
          <w:tcPr>
            <w:tcW w:w="3040" w:type="dxa"/>
            <w:vAlign w:val="bottom"/>
          </w:tcPr>
          <w:p>
            <w:pPr>
              <w:spacing w:after="0"/>
              <w:rPr>
                <w:sz w:val="17"/>
                <w:szCs w:val="17"/>
                <w:color w:val="auto"/>
              </w:rPr>
            </w:pPr>
          </w:p>
        </w:tc>
      </w:tr>
      <w:tr>
        <w:trPr>
          <w:trHeight w:val="216"/>
        </w:trPr>
        <w:tc>
          <w:tcPr>
            <w:tcW w:w="1840" w:type="dxa"/>
            <w:vAlign w:val="bottom"/>
          </w:tcPr>
          <w:p>
            <w:pPr>
              <w:spacing w:after="0"/>
              <w:rPr>
                <w:sz w:val="18"/>
                <w:szCs w:val="18"/>
                <w:color w:val="auto"/>
              </w:rPr>
            </w:pP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U.S. Net Sales</w:t>
            </w:r>
          </w:p>
        </w:tc>
        <w:tc>
          <w:tcPr>
            <w:tcW w:w="30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1840" w:type="dxa"/>
            <w:vAlign w:val="bottom"/>
          </w:tcPr>
          <w:p>
            <w:pPr>
              <w:spacing w:after="0"/>
              <w:rPr>
                <w:sz w:val="20"/>
                <w:szCs w:val="20"/>
                <w:color w:val="auto"/>
              </w:rPr>
            </w:pP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Non-U.S. Net Sales</w:t>
            </w:r>
          </w:p>
        </w:tc>
        <w:tc>
          <w:tcPr>
            <w:tcW w:w="30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1840" w:type="dxa"/>
            <w:vAlign w:val="bottom"/>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Royalty Calculation</w:t>
            </w:r>
          </w:p>
        </w:tc>
        <w:tc>
          <w:tcPr>
            <w:tcW w:w="3040" w:type="dxa"/>
            <w:vAlign w:val="bottom"/>
            <w:shd w:val="clear" w:color="auto" w:fill="CCEEFF"/>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Royalty Subtotal</w:t>
            </w:r>
          </w:p>
        </w:tc>
        <w:tc>
          <w:tcPr>
            <w:tcW w:w="30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16"/>
        </w:trPr>
        <w:tc>
          <w:tcPr>
            <w:tcW w:w="184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w:t>
            </w:r>
          </w:p>
        </w:tc>
        <w:tc>
          <w:tcPr>
            <w:tcW w:w="3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184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Royalty Due</w:t>
            </w:r>
          </w:p>
        </w:tc>
        <w:tc>
          <w:tcPr>
            <w:tcW w:w="30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418"/>
        </w:trPr>
        <w:tc>
          <w:tcPr>
            <w:tcW w:w="6560" w:type="dxa"/>
            <w:vAlign w:val="bottom"/>
            <w:gridSpan w:val="3"/>
          </w:tcPr>
          <w:p>
            <w:pPr>
              <w:spacing w:after="0"/>
              <w:rPr>
                <w:sz w:val="20"/>
                <w:szCs w:val="20"/>
                <w:color w:val="auto"/>
              </w:rPr>
            </w:pPr>
            <w:r>
              <w:rPr>
                <w:rFonts w:ascii="Arial" w:cs="Arial" w:eastAsia="Arial" w:hAnsi="Arial"/>
                <w:sz w:val="18"/>
                <w:szCs w:val="18"/>
                <w:color w:val="auto"/>
              </w:rPr>
              <w:t>Comments:</w:t>
            </w:r>
          </w:p>
        </w:tc>
        <w:tc>
          <w:tcPr>
            <w:tcW w:w="3040" w:type="dxa"/>
            <w:vAlign w:val="bottom"/>
          </w:tcPr>
          <w:p>
            <w:pPr>
              <w:spacing w:after="0"/>
              <w:rPr>
                <w:sz w:val="24"/>
                <w:szCs w:val="24"/>
                <w:color w:val="auto"/>
              </w:rPr>
            </w:pPr>
          </w:p>
        </w:tc>
      </w:tr>
    </w:tbl>
    <w:p>
      <w:pPr>
        <w:spacing w:after="0" w:line="134" w:lineRule="exact"/>
        <w:rPr>
          <w:sz w:val="20"/>
          <w:szCs w:val="20"/>
          <w:color w:val="auto"/>
        </w:rPr>
      </w:pPr>
    </w:p>
    <w:p>
      <w:pPr>
        <w:ind w:left="460" w:hanging="452"/>
        <w:spacing w:after="0" w:line="277" w:lineRule="auto"/>
        <w:tabs>
          <w:tab w:leader="none" w:pos="4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880"/>
          </w:cols>
          <w:pgMar w:left="240" w:top="270" w:right="779" w:bottom="1440" w:gutter="0" w:footer="0" w:header="0"/>
        </w:sectPr>
      </w:pPr>
    </w:p>
    <w:bookmarkStart w:id="389" w:name="page390"/>
    <w:bookmarkEnd w:id="38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C – Client and Billing Agreement</w:t>
      </w:r>
    </w:p>
    <w:p>
      <w:pPr>
        <w:spacing w:after="0" w:line="229" w:lineRule="exact"/>
        <w:rPr>
          <w:sz w:val="20"/>
          <w:szCs w:val="20"/>
          <w:color w:val="auto"/>
        </w:rPr>
      </w:pPr>
    </w:p>
    <w:p>
      <w:pPr>
        <w:ind w:left="460"/>
        <w:spacing w:after="0"/>
        <w:tabs>
          <w:tab w:leader="none" w:pos="7620" w:val="left"/>
          <w:tab w:leader="none" w:pos="10580" w:val="left"/>
        </w:tabs>
        <w:rPr>
          <w:sz w:val="20"/>
          <w:szCs w:val="20"/>
          <w:color w:val="auto"/>
        </w:rPr>
      </w:pPr>
      <w:r>
        <w:rPr>
          <w:rFonts w:ascii="Arial" w:cs="Arial" w:eastAsia="Arial" w:hAnsi="Arial"/>
          <w:sz w:val="18"/>
          <w:szCs w:val="18"/>
          <w:color w:val="auto"/>
        </w:rPr>
        <w:t>The Board of Trustees of the Leland Stanford Junior University (“STANFORD”); and</w:t>
      </w:r>
      <w:r>
        <w:rPr>
          <w:sz w:val="20"/>
          <w:szCs w:val="20"/>
          <w:color w:val="auto"/>
        </w:rPr>
        <w:tab/>
      </w:r>
      <w:r>
        <w:rPr>
          <w:rFonts w:ascii="Arial" w:cs="Arial" w:eastAsia="Arial" w:hAnsi="Arial"/>
          <w:sz w:val="18"/>
          <w:szCs w:val="18"/>
          <w:color w:val="auto"/>
        </w:rPr>
        <w:t>a Corporation of the State of</w:t>
      </w:r>
      <w:r>
        <w:rPr>
          <w:sz w:val="20"/>
          <w:szCs w:val="20"/>
          <w:color w:val="auto"/>
        </w:rPr>
        <w:tab/>
      </w:r>
      <w:r>
        <w:rPr>
          <w:rFonts w:ascii="Arial" w:cs="Arial" w:eastAsia="Arial" w:hAnsi="Arial"/>
          <w:sz w:val="17"/>
          <w:szCs w:val="17"/>
          <w:color w:val="auto"/>
        </w:rPr>
        <w:t>, with a</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principal place of business at , (“COMPANY”); have agreed to use the law firm of (“FIRM”) to prepare, file and prosecute the pending patent applications listed in Exhibit A attached hereto and maintain the patents that issue thereon (“Patents”).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WHEREAS, FIRM desires to perform the legal services related to obtaining and maintaining the Patents;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STANFORD remains the client of the FIRM;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COMPANY is the licensee of STANFORD’s interest in the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the faithful performance of the covenants herein contained, IT IS AGREED:</w:t>
      </w:r>
    </w:p>
    <w:p>
      <w:pPr>
        <w:spacing w:after="0" w:line="225"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1 FIRM can interact directly with COMPANY on all patent prosecution matters related to the Patents and will copy STANFORD on all correspondence. STANFORD will be notified by FIRM prior to any substantive actions and will have final approval on proceeding with such actions. In addition, as prosecution proceeds, FIRM will notify STANFORD if there is any change in inventorship from the originally filed application.</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2 COMPANY is responsible for the payment of all charges and fees by FIRM related to the prosecution and maintenance of the Patents. FIRM will invoice COMPANY and COMPANY must pay FIRM directly for all charges. If STANFORD requests, STANFORD will be copied on all invoices and payments. FIRM must inform STANFORD within 90 days if the licensee is delinquent on payment. Otherwise, STANFORD will not be responsible for those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3 Notices and copies of all correspondence should be sent to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Title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STANFORD: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of Technology Licensing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Stanford University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3000 El Camino Real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Building 5, Suite 300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Palo Alto, CA 94306-2100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FIRM: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Attorney 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Law Firm Address</w:t>
      </w:r>
    </w:p>
    <w:p>
      <w:pPr>
        <w:spacing w:after="0" w:line="21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4 The parties to this document agree that a copy of the original signature (including an electronic copy) may be used for any and all purposes for which the original signature may have been used. The parties further waive any right to challenge the admissibility or authenticity of this document in a court of</w:t>
      </w:r>
    </w:p>
    <w:p>
      <w:pPr>
        <w:spacing w:after="0" w:line="56" w:lineRule="exact"/>
        <w:rPr>
          <w:sz w:val="20"/>
          <w:szCs w:val="20"/>
          <w:color w:val="auto"/>
        </w:rPr>
      </w:pPr>
    </w:p>
    <w:p>
      <w:pPr>
        <w:ind w:left="460" w:right="440" w:hanging="452"/>
        <w:spacing w:after="0" w:line="277" w:lineRule="auto"/>
        <w:tabs>
          <w:tab w:leader="none" w:pos="4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20"/>
          </w:cols>
          <w:pgMar w:left="240" w:top="270" w:right="339" w:bottom="1440" w:gutter="0" w:footer="0" w:header="0"/>
        </w:sectPr>
      </w:pPr>
    </w:p>
    <w:bookmarkStart w:id="390" w:name="page391"/>
    <w:bookmarkEnd w:id="3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based solely on the absence of an original signature.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STANFORD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18573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5">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Katharine Ku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185737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6">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Law Firm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185737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7">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ind w:left="460" w:hanging="452"/>
        <w:spacing w:after="0" w:line="277" w:lineRule="auto"/>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880"/>
          </w:cols>
          <w:pgMar w:left="240" w:top="274" w:right="779" w:bottom="1440" w:gutter="0" w:footer="0" w:header="0"/>
        </w:sectPr>
      </w:pPr>
    </w:p>
    <w:bookmarkStart w:id="391" w:name="page392"/>
    <w:bookmarkEnd w:id="39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Exclusive Patents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4"/>
                <w:szCs w:val="14"/>
                <w:b w:val="1"/>
                <w:bCs w:val="1"/>
                <w:color w:val="auto"/>
              </w:rPr>
              <w:t>Issued Patent</w:t>
            </w:r>
          </w:p>
        </w:tc>
      </w:tr>
      <w:tr>
        <w:trPr>
          <w:trHeight w:val="185"/>
        </w:trPr>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9"/>
              </w:rPr>
              <w:t>Docket</w:t>
            </w:r>
          </w:p>
        </w:tc>
        <w:tc>
          <w:tcPr>
            <w:tcW w:w="6480" w:type="dxa"/>
            <w:vAlign w:val="bottom"/>
            <w:gridSpan w:val="2"/>
          </w:tcPr>
          <w:p>
            <w:pPr>
              <w:ind w:left="3240"/>
              <w:spacing w:after="0"/>
              <w:rPr>
                <w:sz w:val="20"/>
                <w:szCs w:val="20"/>
                <w:color w:val="auto"/>
              </w:rPr>
            </w:pPr>
            <w:r>
              <w:rPr>
                <w:rFonts w:ascii="Arial" w:cs="Arial" w:eastAsia="Arial" w:hAnsi="Arial"/>
                <w:sz w:val="14"/>
                <w:szCs w:val="14"/>
                <w:b w:val="1"/>
                <w:bCs w:val="1"/>
                <w:color w:val="auto"/>
              </w:rPr>
              <w:t>Docket Title</w:t>
            </w:r>
          </w:p>
        </w:tc>
        <w:tc>
          <w:tcPr>
            <w:tcW w:w="3560" w:type="dxa"/>
            <w:vAlign w:val="bottom"/>
            <w:gridSpan w:val="3"/>
          </w:tcPr>
          <w:p>
            <w:pPr>
              <w:ind w:left="220"/>
              <w:spacing w:after="0"/>
              <w:rPr>
                <w:sz w:val="20"/>
                <w:szCs w:val="20"/>
                <w:color w:val="auto"/>
              </w:rPr>
            </w:pPr>
            <w:r>
              <w:rPr>
                <w:rFonts w:ascii="Arial" w:cs="Arial" w:eastAsia="Arial" w:hAnsi="Arial"/>
                <w:sz w:val="14"/>
                <w:szCs w:val="14"/>
                <w:b w:val="1"/>
                <w:bCs w:val="1"/>
                <w:color w:val="auto"/>
              </w:rPr>
              <w:t>Serial Number</w:t>
            </w:r>
          </w:p>
        </w:tc>
        <w:tc>
          <w:tcPr>
            <w:tcW w:w="940" w:type="dxa"/>
            <w:vAlign w:val="bottom"/>
          </w:tcPr>
          <w:p>
            <w:pPr>
              <w:spacing w:after="0"/>
              <w:rPr>
                <w:sz w:val="20"/>
                <w:szCs w:val="20"/>
                <w:color w:val="auto"/>
              </w:rPr>
            </w:pPr>
            <w:r>
              <w:rPr>
                <w:rFonts w:ascii="Arial" w:cs="Arial" w:eastAsia="Arial" w:hAnsi="Arial"/>
                <w:sz w:val="14"/>
                <w:szCs w:val="14"/>
                <w:b w:val="1"/>
                <w:bCs w:val="1"/>
                <w:color w:val="auto"/>
              </w:rPr>
              <w:t>Number</w:t>
            </w:r>
          </w:p>
        </w:tc>
      </w:tr>
      <w:tr>
        <w:trPr>
          <w:trHeight w:val="224"/>
        </w:trPr>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24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363" w:lineRule="exact"/>
        <w:rPr>
          <w:sz w:val="20"/>
          <w:szCs w:val="20"/>
          <w:color w:val="auto"/>
        </w:rPr>
      </w:pPr>
    </w:p>
    <w:p>
      <w:pPr>
        <w:ind w:left="460" w:right="540" w:hanging="452"/>
        <w:spacing w:after="0" w:line="277" w:lineRule="auto"/>
        <w:tabs>
          <w:tab w:leader="none" w:pos="4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274" w:right="239" w:bottom="1440" w:gutter="0" w:footer="0" w:header="0"/>
        </w:sectPr>
      </w:pPr>
    </w:p>
    <w:bookmarkStart w:id="392" w:name="page393"/>
    <w:bookmarkEnd w:id="392"/>
    <w:p>
      <w:pPr>
        <w:jc w:val="center"/>
        <w:ind w:right="-5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E</w:t>
      </w:r>
    </w:p>
    <w:p>
      <w:pPr>
        <w:spacing w:after="0" w:line="225" w:lineRule="exact"/>
        <w:rPr>
          <w:sz w:val="20"/>
          <w:szCs w:val="20"/>
          <w:color w:val="auto"/>
        </w:rPr>
      </w:pPr>
    </w:p>
    <w:p>
      <w:pPr>
        <w:ind w:left="4872"/>
        <w:spacing w:after="0"/>
        <w:rPr>
          <w:sz w:val="20"/>
          <w:szCs w:val="20"/>
          <w:color w:val="auto"/>
        </w:rPr>
      </w:pPr>
      <w:r>
        <w:rPr>
          <w:rFonts w:ascii="Arial" w:cs="Arial" w:eastAsia="Arial" w:hAnsi="Arial"/>
          <w:sz w:val="18"/>
          <w:szCs w:val="18"/>
          <w:b w:val="1"/>
          <w:bCs w:val="1"/>
          <w:color w:val="auto"/>
        </w:rPr>
        <w:t>Licensed Information</w:t>
      </w:r>
    </w:p>
    <w:p>
      <w:pPr>
        <w:spacing w:after="0" w:line="22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52" w:hanging="452"/>
        <w:spacing w:after="0" w:line="277" w:lineRule="auto"/>
        <w:tabs>
          <w:tab w:leader="none" w:pos="45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872"/>
          </w:cols>
          <w:pgMar w:left="248" w:top="269" w:right="779" w:bottom="1440" w:gutter="0" w:footer="0" w:header="0"/>
        </w:sectPr>
      </w:pPr>
    </w:p>
    <w:bookmarkStart w:id="393" w:name="page394"/>
    <w:bookmarkEnd w:id="393"/>
    <w:p>
      <w:pPr>
        <w:jc w:val="center"/>
        <w:ind w:right="-5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F</w:t>
      </w:r>
    </w:p>
    <w:p>
      <w:pPr>
        <w:spacing w:after="0" w:line="225" w:lineRule="exact"/>
        <w:rPr>
          <w:sz w:val="20"/>
          <w:szCs w:val="20"/>
          <w:color w:val="auto"/>
        </w:rPr>
      </w:pPr>
    </w:p>
    <w:p>
      <w:pPr>
        <w:ind w:left="4912"/>
        <w:spacing w:after="0"/>
        <w:rPr>
          <w:sz w:val="20"/>
          <w:szCs w:val="20"/>
          <w:color w:val="auto"/>
        </w:rPr>
      </w:pPr>
      <w:r>
        <w:rPr>
          <w:rFonts w:ascii="Arial" w:cs="Arial" w:eastAsia="Arial" w:hAnsi="Arial"/>
          <w:sz w:val="18"/>
          <w:szCs w:val="18"/>
          <w:b w:val="1"/>
          <w:bCs w:val="1"/>
          <w:color w:val="auto"/>
        </w:rPr>
        <w:t>Licensed Technology</w:t>
      </w:r>
    </w:p>
    <w:p>
      <w:pPr>
        <w:spacing w:after="0" w:line="22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52" w:hanging="452"/>
        <w:spacing w:after="0" w:line="277" w:lineRule="auto"/>
        <w:tabs>
          <w:tab w:leader="none" w:pos="45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872"/>
          </w:cols>
          <w:pgMar w:left="248" w:top="270" w:right="779" w:bottom="1440" w:gutter="0" w:footer="0" w:header="0"/>
        </w:sectPr>
      </w:pPr>
    </w:p>
    <w:bookmarkStart w:id="394" w:name="page395"/>
    <w:bookmarkEnd w:id="394"/>
    <w:p>
      <w:pPr>
        <w:ind w:left="4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G – [*] Sequence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60" w:hanging="452"/>
        <w:spacing w:after="0" w:line="277" w:lineRule="auto"/>
        <w:tabs>
          <w:tab w:leader="none" w:pos="4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880"/>
          </w:cols>
          <w:pgMar w:left="240" w:top="270" w:right="779" w:bottom="1440" w:gutter="0" w:footer="0" w:header="0"/>
        </w:sectPr>
      </w:pPr>
    </w:p>
    <w:bookmarkStart w:id="395" w:name="page396"/>
    <w:bookmarkEnd w:id="39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H – Hu5F9 Sequence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60" w:hanging="452"/>
        <w:spacing w:after="0" w:line="277" w:lineRule="auto"/>
        <w:tabs>
          <w:tab w:leader="none" w:pos="4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880"/>
          </w:cols>
          <w:pgMar w:left="240" w:top="270" w:right="779" w:bottom="1440" w:gutter="0" w:footer="0" w:header="0"/>
        </w:sectPr>
      </w:pPr>
    </w:p>
    <w:bookmarkStart w:id="396" w:name="page397"/>
    <w:bookmarkEnd w:id="396"/>
    <w:p>
      <w:pPr>
        <w:ind w:left="29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 – Inventors and Share Allocation - To be provided by Stanford</w:t>
      </w:r>
    </w:p>
    <w:p>
      <w:pPr>
        <w:spacing w:after="0" w:line="162" w:lineRule="exact"/>
        <w:rPr>
          <w:sz w:val="20"/>
          <w:szCs w:val="20"/>
          <w:color w:val="auto"/>
        </w:rPr>
      </w:pPr>
    </w:p>
    <w:p>
      <w:pPr>
        <w:ind w:left="452" w:hanging="452"/>
        <w:spacing w:after="0" w:line="277" w:lineRule="auto"/>
        <w:tabs>
          <w:tab w:leader="none" w:pos="452"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872"/>
          </w:cols>
          <w:pgMar w:left="248" w:top="270" w:right="779" w:bottom="1440" w:gutter="0" w:footer="0" w:header="0"/>
        </w:sectPr>
      </w:pPr>
    </w:p>
    <w:bookmarkStart w:id="397" w:name="page398"/>
    <w:bookmarkEnd w:id="39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Forty Seven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April 19, 2017</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 to Exclusive (Equity) Agreement</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 xml:space="preserve">This Amendment No. 1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to the Exclusive (Equity) Agreement, dated the 19th of November, 2015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as of April 19, 2017 (the </w:t>
      </w:r>
      <w:r>
        <w:rPr>
          <w:rFonts w:ascii="Arial" w:cs="Arial" w:eastAsia="Arial" w:hAnsi="Arial"/>
          <w:sz w:val="18"/>
          <w:szCs w:val="18"/>
          <w:b w:val="1"/>
          <w:bCs w:val="1"/>
          <w:color w:val="auto"/>
        </w:rPr>
        <w:t>“Amendment No. 1 Effective Date”</w:t>
      </w:r>
      <w:r>
        <w:rPr>
          <w:rFonts w:ascii="Arial" w:cs="Arial" w:eastAsia="Arial" w:hAnsi="Arial"/>
          <w:sz w:val="18"/>
          <w:szCs w:val="18"/>
          <w:color w:val="auto"/>
        </w:rPr>
        <w:t>) by and between Forty Seven, Inc. (</w:t>
      </w:r>
      <w:r>
        <w:rPr>
          <w:rFonts w:ascii="Arial" w:cs="Arial" w:eastAsia="Arial" w:hAnsi="Arial"/>
          <w:sz w:val="18"/>
          <w:szCs w:val="18"/>
          <w:b w:val="1"/>
          <w:bCs w:val="1"/>
          <w:color w:val="auto"/>
        </w:rPr>
        <w:t>“Forty Seven”</w:t>
      </w:r>
      <w:r>
        <w:rPr>
          <w:rFonts w:ascii="Arial" w:cs="Arial" w:eastAsia="Arial" w:hAnsi="Arial"/>
          <w:sz w:val="18"/>
          <w:szCs w:val="18"/>
          <w:color w:val="auto"/>
        </w:rPr>
        <w:t>) and The Board of Trustees of the Leland Stanford Junior University (</w:t>
      </w:r>
      <w:r>
        <w:rPr>
          <w:rFonts w:ascii="Arial" w:cs="Arial" w:eastAsia="Arial" w:hAnsi="Arial"/>
          <w:sz w:val="18"/>
          <w:szCs w:val="18"/>
          <w:b w:val="1"/>
          <w:bCs w:val="1"/>
          <w:color w:val="auto"/>
        </w:rPr>
        <w:t>“Stanford”</w:t>
      </w:r>
      <w:r>
        <w:rPr>
          <w:rFonts w:ascii="Arial" w:cs="Arial" w:eastAsia="Arial" w:hAnsi="Arial"/>
          <w:sz w:val="18"/>
          <w:szCs w:val="18"/>
          <w:color w:val="auto"/>
        </w:rPr>
        <w: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 The parties entered into the Agreement pursuant to which Stanford licensed to Forty Seven certain inventions, patent applications, patents, and technologies relating to [*].</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 The parties understand that Stanford, pursuant to the Third Party Option Agreement, has granted to one third party an exclusive option to acquire an exclusive license under the [*] Patents in Third Party [*] Field of Use (each, as defined below).</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 The parties agree to amend the Licensed Field of Use in the Agreement all on the terms and conditions below. The parties also agree to omit the Purchase Right clauses, update the insurances clause, and amend Appendices D, E and F.</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to amend the Agreement as follows:</w:t>
      </w:r>
    </w:p>
    <w:p>
      <w:pPr>
        <w:spacing w:after="0" w:line="225" w:lineRule="exact"/>
        <w:rPr>
          <w:sz w:val="20"/>
          <w:szCs w:val="20"/>
          <w:color w:val="auto"/>
        </w:rPr>
      </w:pPr>
    </w:p>
    <w:p>
      <w:pPr>
        <w:ind w:left="180" w:hanging="172"/>
        <w:spacing w:after="0"/>
        <w:tabs>
          <w:tab w:leader="none" w:pos="180" w:val="left"/>
        </w:tabs>
        <w:numPr>
          <w:ilvl w:val="0"/>
          <w:numId w:val="457"/>
        </w:numPr>
        <w:rPr>
          <w:rFonts w:ascii="Arial" w:cs="Arial" w:eastAsia="Arial" w:hAnsi="Arial"/>
          <w:sz w:val="18"/>
          <w:szCs w:val="18"/>
          <w:b w:val="1"/>
          <w:bCs w:val="1"/>
          <w:color w:val="auto"/>
        </w:rPr>
      </w:pPr>
      <w:r>
        <w:rPr>
          <w:rFonts w:ascii="Arial" w:cs="Arial" w:eastAsia="Arial" w:hAnsi="Arial"/>
          <w:sz w:val="18"/>
          <w:szCs w:val="18"/>
          <w:color w:val="auto"/>
        </w:rPr>
        <w:t>Capitalized terms used in this Amendment and not otherwise defined herein shall have the meanings given to them in the Agreement.</w:t>
      </w:r>
    </w:p>
    <w:p>
      <w:pPr>
        <w:spacing w:after="0" w:line="225" w:lineRule="exact"/>
        <w:rPr>
          <w:rFonts w:ascii="Arial" w:cs="Arial" w:eastAsia="Arial" w:hAnsi="Arial"/>
          <w:sz w:val="18"/>
          <w:szCs w:val="18"/>
          <w:b w:val="1"/>
          <w:bCs w:val="1"/>
          <w:color w:val="auto"/>
        </w:rPr>
      </w:pPr>
    </w:p>
    <w:p>
      <w:pPr>
        <w:ind w:left="180" w:hanging="172"/>
        <w:spacing w:after="0"/>
        <w:tabs>
          <w:tab w:leader="none" w:pos="180" w:val="left"/>
        </w:tabs>
        <w:numPr>
          <w:ilvl w:val="0"/>
          <w:numId w:val="457"/>
        </w:numPr>
        <w:rPr>
          <w:rFonts w:ascii="Arial" w:cs="Arial" w:eastAsia="Arial" w:hAnsi="Arial"/>
          <w:sz w:val="18"/>
          <w:szCs w:val="18"/>
          <w:b w:val="1"/>
          <w:bCs w:val="1"/>
          <w:color w:val="auto"/>
        </w:rPr>
      </w:pPr>
      <w:r>
        <w:rPr>
          <w:rFonts w:ascii="Arial" w:cs="Arial" w:eastAsia="Arial" w:hAnsi="Arial"/>
          <w:sz w:val="18"/>
          <w:szCs w:val="18"/>
          <w:color w:val="auto"/>
        </w:rPr>
        <w:t>Section 2.19 of the Agreement is hereby deleted in its entirety and replaced with the following:</w:t>
      </w:r>
    </w:p>
    <w:p>
      <w:pPr>
        <w:spacing w:after="0" w:line="22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2.19 “Licensed Field of Use” means (i) with respect to the Exclusive Patents, the Exclusive Field of Use, (ii) with respect to the SIRPa Component Patents, the field of use outside the SIRPa Component Field of Use, and (iii) with respect to the Limited Exclusive Patents, the Licensed Technology and the Licensed Information, all fields of use. With respect only to the [*] Patents, Forty Seven acknowledges that the [*] Patents are subject to an option granted to a third party for an exclusive license to the Third Party [*] Field of Use, under an Investigator Sponsored Research Agreement between Stanford and the third party including the amendment effective February 27, 2017. For clarity, Forty Seven agrees that Stanford is free to grant an exclusive license under this option to the third party to the [*] Patents in the Third Party [*] Field of Use, in the event the third party exercises its option.</w:t>
      </w:r>
    </w:p>
    <w:p>
      <w:pPr>
        <w:spacing w:after="0" w:line="81" w:lineRule="exact"/>
        <w:rPr>
          <w:sz w:val="20"/>
          <w:szCs w:val="20"/>
          <w:color w:val="auto"/>
        </w:rPr>
      </w:pPr>
    </w:p>
    <w:p>
      <w:pPr>
        <w:ind w:left="1200" w:hanging="297"/>
        <w:spacing w:after="0"/>
        <w:tabs>
          <w:tab w:leader="none" w:pos="120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 Patents” means any patents and patent applications that claim priority to provisional [*] under Docket [*].</w:t>
      </w:r>
    </w:p>
    <w:p>
      <w:pPr>
        <w:spacing w:after="0" w:line="117" w:lineRule="exact"/>
        <w:rPr>
          <w:rFonts w:ascii="Arial" w:cs="Arial" w:eastAsia="Arial" w:hAnsi="Arial"/>
          <w:sz w:val="18"/>
          <w:szCs w:val="18"/>
          <w:color w:val="auto"/>
        </w:rPr>
      </w:pPr>
    </w:p>
    <w:p>
      <w:pPr>
        <w:ind w:left="1180" w:hanging="277"/>
        <w:spacing w:after="0"/>
        <w:tabs>
          <w:tab w:leader="none" w:pos="118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“Third Party [*] Field of Use” means the use of [*] for the purpose of [*].</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59"/>
        </w:numPr>
        <w:rPr>
          <w:rFonts w:ascii="Arial" w:cs="Arial" w:eastAsia="Arial" w:hAnsi="Arial"/>
          <w:sz w:val="18"/>
          <w:szCs w:val="18"/>
          <w:b w:val="1"/>
          <w:bCs w:val="1"/>
          <w:color w:val="auto"/>
        </w:rPr>
      </w:pPr>
      <w:r>
        <w:rPr>
          <w:rFonts w:ascii="Arial" w:cs="Arial" w:eastAsia="Arial" w:hAnsi="Arial"/>
          <w:sz w:val="18"/>
          <w:szCs w:val="18"/>
          <w:color w:val="auto"/>
        </w:rPr>
        <w:t>Section 2.36 of the Agreement is hereby amended by deleting the defined terms table in its entirety and replacing it with the following:</w:t>
      </w:r>
    </w:p>
    <w:p>
      <w:pPr>
        <w:spacing w:after="0" w:line="158" w:lineRule="exact"/>
        <w:rPr>
          <w:sz w:val="20"/>
          <w:szCs w:val="20"/>
          <w:color w:val="auto"/>
        </w:rPr>
      </w:pPr>
    </w:p>
    <w:p>
      <w:pPr>
        <w:ind w:left="460" w:right="500" w:hanging="452"/>
        <w:spacing w:after="0" w:line="277" w:lineRule="auto"/>
        <w:tabs>
          <w:tab w:leader="none" w:pos="4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69" w:right="279" w:bottom="144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171"/>
        </w:trPr>
        <w:tc>
          <w:tcPr>
            <w:tcW w:w="44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Section Defined</w:t>
            </w:r>
          </w:p>
        </w:tc>
      </w:tr>
      <w:tr>
        <w:trPr>
          <w:trHeight w:val="195"/>
        </w:trPr>
        <w:tc>
          <w:tcPr>
            <w:tcW w:w="3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w:t>
            </w:r>
          </w:p>
        </w:tc>
        <w:tc>
          <w:tcPr>
            <w:tcW w:w="4120" w:type="dxa"/>
            <w:vAlign w:val="bottom"/>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4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CIRM</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.l</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 Patents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2.19(B)</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Claims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10.l(B)</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Deficient Product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Disputed Breach Arbitration</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Effective Date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Preamble</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First Round</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Forty Seven</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Preamble</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Generic Competition</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7.10</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HHMI</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l</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HHMI License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HHMI Patents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LLS</w:t>
            </w: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Ludwig</w:t>
            </w:r>
          </w:p>
        </w:tc>
        <w:tc>
          <w:tcPr>
            <w:tcW w:w="1860" w:type="dxa"/>
            <w:vAlign w:val="bottom"/>
          </w:tcPr>
          <w:p>
            <w:pPr>
              <w:jc w:val="right"/>
              <w:spacing w:after="0"/>
              <w:rPr>
                <w:sz w:val="20"/>
                <w:szCs w:val="20"/>
                <w:color w:val="auto"/>
              </w:rPr>
            </w:pPr>
            <w:r>
              <w:rPr>
                <w:rFonts w:ascii="Arial" w:cs="Arial" w:eastAsia="Arial" w:hAnsi="Arial"/>
                <w:sz w:val="18"/>
                <w:szCs w:val="18"/>
                <w:color w:val="auto"/>
              </w:rPr>
              <w:t>l</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NIH</w:t>
            </w:r>
          </w:p>
        </w:tc>
        <w:tc>
          <w:tcPr>
            <w:tcW w:w="1860" w:type="dxa"/>
            <w:vAlign w:val="bottom"/>
          </w:tcPr>
          <w:p>
            <w:pPr>
              <w:jc w:val="right"/>
              <w:spacing w:after="0"/>
              <w:rPr>
                <w:sz w:val="20"/>
                <w:szCs w:val="20"/>
                <w:color w:val="auto"/>
              </w:rPr>
            </w:pPr>
            <w:r>
              <w:rPr>
                <w:rFonts w:ascii="Arial" w:cs="Arial" w:eastAsia="Arial" w:hAnsi="Arial"/>
                <w:sz w:val="18"/>
                <w:szCs w:val="18"/>
                <w:color w:val="auto"/>
              </w:rPr>
              <w:t>l</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NYSCF</w:t>
            </w:r>
          </w:p>
        </w:tc>
        <w:tc>
          <w:tcPr>
            <w:tcW w:w="1860" w:type="dxa"/>
            <w:vAlign w:val="bottom"/>
          </w:tcPr>
          <w:p>
            <w:pPr>
              <w:jc w:val="right"/>
              <w:spacing w:after="0"/>
              <w:rPr>
                <w:sz w:val="20"/>
                <w:szCs w:val="20"/>
                <w:color w:val="auto"/>
              </w:rPr>
            </w:pPr>
            <w:r>
              <w:rPr>
                <w:rFonts w:ascii="Arial" w:cs="Arial" w:eastAsia="Arial" w:hAnsi="Arial"/>
                <w:sz w:val="18"/>
                <w:szCs w:val="18"/>
                <w:color w:val="auto"/>
              </w:rPr>
              <w:t>l</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SIRPa. Component Patent Matters</w:t>
            </w:r>
          </w:p>
        </w:tc>
        <w:tc>
          <w:tcPr>
            <w:tcW w:w="1860" w:type="dxa"/>
            <w:vAlign w:val="bottom"/>
          </w:tcPr>
          <w:p>
            <w:pPr>
              <w:jc w:val="right"/>
              <w:spacing w:after="0"/>
              <w:rPr>
                <w:sz w:val="20"/>
                <w:szCs w:val="20"/>
                <w:color w:val="auto"/>
              </w:rPr>
            </w:pPr>
            <w:r>
              <w:rPr>
                <w:rFonts w:ascii="Arial" w:cs="Arial" w:eastAsia="Arial" w:hAnsi="Arial"/>
                <w:sz w:val="18"/>
                <w:szCs w:val="18"/>
                <w:color w:val="auto"/>
              </w:rPr>
              <w:t>14.l(D)</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Stanford</w:t>
            </w:r>
          </w:p>
        </w:tc>
        <w:tc>
          <w:tcPr>
            <w:tcW w:w="18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Terminated Patent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Third Party [*] Field of Use</w:t>
            </w:r>
          </w:p>
        </w:tc>
        <w:tc>
          <w:tcPr>
            <w:tcW w:w="1860" w:type="dxa"/>
            <w:vAlign w:val="bottom"/>
          </w:tcPr>
          <w:p>
            <w:pPr>
              <w:jc w:val="right"/>
              <w:spacing w:after="0"/>
              <w:rPr>
                <w:sz w:val="20"/>
                <w:szCs w:val="20"/>
                <w:color w:val="auto"/>
              </w:rPr>
            </w:pPr>
            <w:r>
              <w:rPr>
                <w:rFonts w:ascii="Arial" w:cs="Arial" w:eastAsia="Arial" w:hAnsi="Arial"/>
                <w:sz w:val="18"/>
                <w:szCs w:val="18"/>
                <w:color w:val="auto"/>
              </w:rPr>
              <w:t>2.19(B)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Third Party License Agreement.</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Third Party Negotiation Period</w:t>
            </w:r>
          </w:p>
        </w:tc>
        <w:tc>
          <w:tcPr>
            <w:tcW w:w="1860" w:type="dxa"/>
            <w:vAlign w:val="bottom"/>
          </w:tcPr>
          <w:p>
            <w:pPr>
              <w:jc w:val="right"/>
              <w:spacing w:after="0"/>
              <w:rPr>
                <w:sz w:val="20"/>
                <w:szCs w:val="20"/>
                <w:color w:val="auto"/>
              </w:rPr>
            </w:pPr>
            <w:r>
              <w:rPr>
                <w:rFonts w:ascii="Arial" w:cs="Arial" w:eastAsia="Arial" w:hAnsi="Arial"/>
                <w:sz w:val="18"/>
                <w:szCs w:val="18"/>
                <w:color w:val="auto"/>
              </w:rPr>
              <w:t>2.19(A)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Third Party Option Agreement</w:t>
            </w:r>
          </w:p>
        </w:tc>
        <w:tc>
          <w:tcPr>
            <w:tcW w:w="1860" w:type="dxa"/>
            <w:vAlign w:val="bottom"/>
          </w:tcPr>
          <w:p>
            <w:pPr>
              <w:jc w:val="right"/>
              <w:spacing w:after="0"/>
              <w:rPr>
                <w:sz w:val="20"/>
                <w:szCs w:val="20"/>
                <w:color w:val="auto"/>
              </w:rPr>
            </w:pPr>
            <w:r>
              <w:rPr>
                <w:rFonts w:ascii="Arial" w:cs="Arial" w:eastAsia="Arial" w:hAnsi="Arial"/>
                <w:sz w:val="18"/>
                <w:szCs w:val="18"/>
                <w:color w:val="auto"/>
              </w:rPr>
              <w:t>2.19(A)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Third Party Option Period</w:t>
            </w:r>
          </w:p>
        </w:tc>
        <w:tc>
          <w:tcPr>
            <w:tcW w:w="1860" w:type="dxa"/>
            <w:vAlign w:val="bottom"/>
          </w:tcPr>
          <w:p>
            <w:pPr>
              <w:jc w:val="right"/>
              <w:spacing w:after="0"/>
              <w:rPr>
                <w:sz w:val="20"/>
                <w:szCs w:val="20"/>
                <w:color w:val="auto"/>
              </w:rPr>
            </w:pPr>
            <w:r>
              <w:rPr>
                <w:rFonts w:ascii="Arial" w:cs="Arial" w:eastAsia="Arial" w:hAnsi="Arial"/>
                <w:sz w:val="18"/>
                <w:szCs w:val="18"/>
                <w:color w:val="auto"/>
              </w:rPr>
              <w:t>2.19(A)</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Triggering Event</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-2065655</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78" w:lineRule="exact"/>
        <w:rPr>
          <w:sz w:val="20"/>
          <w:szCs w:val="20"/>
          <w:color w:val="auto"/>
        </w:rPr>
      </w:pPr>
    </w:p>
    <w:p>
      <w:pPr>
        <w:sectPr>
          <w:pgSz w:w="11900" w:h="16838" w:orient="portrait"/>
          <w:cols w:equalWidth="0" w:num="2">
            <w:col w:w="5420" w:space="400"/>
            <w:col w:w="5540"/>
          </w:cols>
          <w:pgMar w:left="240" w:top="562" w:right="299" w:bottom="1440" w:gutter="0" w:footer="0" w:header="0"/>
        </w:sectPr>
      </w:pPr>
    </w:p>
    <w:p>
      <w:pPr>
        <w:spacing w:after="0" w:line="177" w:lineRule="exact"/>
        <w:rPr>
          <w:sz w:val="20"/>
          <w:szCs w:val="20"/>
          <w:color w:val="auto"/>
        </w:rPr>
      </w:pPr>
    </w:p>
    <w:p>
      <w:pPr>
        <w:ind w:left="460" w:hanging="452"/>
        <w:spacing w:after="0"/>
        <w:tabs>
          <w:tab w:leader="none" w:pos="460"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Section 7.2 of the Agreement is hereby deleted in its entirety and replaced with the following:</w:t>
      </w:r>
    </w:p>
    <w:p>
      <w:pPr>
        <w:spacing w:after="0" w:line="113"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Equity Interest.</w:t>
      </w:r>
      <w:r>
        <w:rPr>
          <w:rFonts w:ascii="Arial" w:cs="Arial" w:eastAsia="Arial" w:hAnsi="Arial"/>
          <w:sz w:val="16"/>
          <w:szCs w:val="16"/>
          <w:color w:val="auto"/>
        </w:rPr>
        <w:t xml:space="preserve"> As further consideration, Forty Seven will grant to Stanford 7,751,242 shares of common stock in Forty Seven. When issued, those 7,751,242 shares of common stock will represent not less than [*]% of the common stock in Forty Seven on a Fully-Diluted Basis. The per share valuation of these shares will be provided to Stanford within [*] days of the Effective Date. Forty Seven agrees to provide Stanford with the capitalization table upon which the above calculation is made. Forty Seven will issue shares granted to Stanford pursuant to this Section 7.2 and Section 7.3 directly to Stanford. Stanford acknowledges that, in partial consideration for Forty Seven issuing shares under this Agreement, Forty Seven intends to require inventors to execute inventors certificates certifying that inventors have assigned and do assign their rights in the Licensed Patents, Licensed Technology, and Licensed Information to Stanford, and disclosing any agreements to which inventor is a party that grant any third party license or ownership in or to any of the Licensed Patents. Except as set forth in the foregoing sentence, Forty Seven shall not require inventors to execute any additional certification, or otherwise provide any additional representations or warranties, with respect to the Licensed Patents, Licensed Technology, and Licensed Information. Inventors shall be third party beneficiaries to the foregoing provisions.</w:t>
      </w:r>
    </w:p>
    <w:p>
      <w:pPr>
        <w:spacing w:after="0" w:line="70" w:lineRule="exact"/>
        <w:rPr>
          <w:rFonts w:ascii="Arial" w:cs="Arial" w:eastAsia="Arial" w:hAnsi="Arial"/>
          <w:sz w:val="18"/>
          <w:szCs w:val="18"/>
          <w:b w:val="1"/>
          <w:bCs w:val="1"/>
          <w:color w:val="auto"/>
        </w:rPr>
      </w:pPr>
    </w:p>
    <w:p>
      <w:pPr>
        <w:ind w:left="460" w:hanging="452"/>
        <w:spacing w:after="0"/>
        <w:tabs>
          <w:tab w:leader="none" w:pos="460"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The text of Section 7.4 is hereby deleted in its entirety and replaced with the word “OMITTED”.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The text of Section 7.5 is hereby deleted in its entirety and replaced with the word “OMITTED”.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461"/>
        </w:numPr>
        <w:rPr>
          <w:rFonts w:ascii="Arial" w:cs="Arial" w:eastAsia="Arial" w:hAnsi="Arial"/>
          <w:sz w:val="18"/>
          <w:szCs w:val="18"/>
          <w:b w:val="1"/>
          <w:bCs w:val="1"/>
          <w:color w:val="auto"/>
        </w:rPr>
      </w:pPr>
      <w:r>
        <w:rPr>
          <w:rFonts w:ascii="Arial" w:cs="Arial" w:eastAsia="Arial" w:hAnsi="Arial"/>
          <w:sz w:val="18"/>
          <w:szCs w:val="18"/>
          <w:color w:val="auto"/>
        </w:rPr>
        <w:t>Section 10.4 of the Agreement is hereby deleted in its entirety and replaced with the following:</w:t>
      </w:r>
    </w:p>
    <w:p>
      <w:pPr>
        <w:spacing w:after="0" w:line="113" w:lineRule="exact"/>
        <w:rPr>
          <w:rFonts w:ascii="Arial" w:cs="Arial" w:eastAsia="Arial" w:hAnsi="Arial"/>
          <w:sz w:val="18"/>
          <w:szCs w:val="18"/>
          <w:b w:val="1"/>
          <w:bCs w:val="1"/>
          <w:color w:val="auto"/>
        </w:rPr>
      </w:pPr>
    </w:p>
    <w:p>
      <w:pPr>
        <w:ind w:left="460" w:right="14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 xml:space="preserve">10.4 </w:t>
      </w:r>
      <w:r>
        <w:rPr>
          <w:rFonts w:ascii="Arial" w:cs="Arial" w:eastAsia="Arial" w:hAnsi="Arial"/>
          <w:sz w:val="17"/>
          <w:szCs w:val="17"/>
          <w:b w:val="1"/>
          <w:bCs w:val="1"/>
          <w:color w:val="auto"/>
        </w:rPr>
        <w:t>Insurance.</w:t>
      </w:r>
      <w:r>
        <w:rPr>
          <w:rFonts w:ascii="Arial" w:cs="Arial" w:eastAsia="Arial" w:hAnsi="Arial"/>
          <w:sz w:val="17"/>
          <w:szCs w:val="17"/>
          <w:color w:val="auto"/>
        </w:rPr>
        <w:t xml:space="preserve"> Prior to the first testing of a Licensed Product by Forty Seven in a human and thereafter during the term of this Agreement, Forty Seven will maintain Comprehensive General Liability Insurance, including Product Liability Insurance, with a reputable and financially secure insurance carrier (except for permitted self-insurance, described below) to cover the activities of Forty Seven and its sublicensees. The insurance will provide minimum limits of liability of $[*] and will include all Stanford Indemnitees and HHMI Indemnitees as additional insureds. Insurance must cover claims incurred, discovered, manifested, or made during or after the expiration of this</w:t>
      </w:r>
    </w:p>
    <w:p>
      <w:pPr>
        <w:spacing w:after="0" w:line="105" w:lineRule="exact"/>
        <w:rPr>
          <w:sz w:val="20"/>
          <w:szCs w:val="20"/>
          <w:color w:val="auto"/>
        </w:rPr>
      </w:pPr>
    </w:p>
    <w:p>
      <w:pPr>
        <w:ind w:left="460" w:right="480" w:hanging="452"/>
        <w:spacing w:after="0" w:line="277" w:lineRule="auto"/>
        <w:tabs>
          <w:tab w:leader="none" w:pos="4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62" w:right="299" w:bottom="1440" w:gutter="0" w:footer="0" w:header="0"/>
          <w:type w:val="continuous"/>
        </w:sectPr>
      </w:pPr>
    </w:p>
    <w:bookmarkStart w:id="399" w:name="page400"/>
    <w:bookmarkEnd w:id="399"/>
    <w:p>
      <w:pPr>
        <w:ind w:left="452"/>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(except for permitted self-insurance, described below) must be placed with carriers with ratings of at least A- as rated by A.M. Best. Within [*] days of the Effective Date of this Agreement, Forty Seven will furnish a Certificate of Insurance evidencing primary coverage and additional insured requirements. Forty Seven will provide to Stanford [*] days prior written notice of cancellation or material change to this insurance coverage. Forty Seven will advise Stanford in writing that it maintains excess liability coverage (following form) over primary insurance for at least the minimum limits set forth above. All insurance of Forty Seven will be primary coverage; insurance of Stanford Indemnitees and HHMI Indemnitees will be excess and noncontributory. Notwithstanding this Section 10.4 and Section 4.3 above, in any Sublicense between Forty Seven and a third party that is engaged in the business of selling pharmaceutical products, whose revenues from such sales (on a consolidated basis in the last full fiscal year) was in excess of [*], such third party may self-insure all or any portion of the required insurance.</w:t>
      </w:r>
    </w:p>
    <w:p>
      <w:pPr>
        <w:spacing w:after="0" w:line="179" w:lineRule="exact"/>
        <w:rPr>
          <w:sz w:val="20"/>
          <w:szCs w:val="20"/>
          <w:color w:val="auto"/>
        </w:rPr>
      </w:pPr>
    </w:p>
    <w:p>
      <w:pPr>
        <w:ind w:left="172" w:hanging="172"/>
        <w:spacing w:after="0"/>
        <w:tabs>
          <w:tab w:leader="none" w:pos="172"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Appendix D of the Agreement is hereby deleted in its entirety and replaced with the Appendix D attached hereto as Schedule 1.</w:t>
      </w:r>
    </w:p>
    <w:p>
      <w:pPr>
        <w:spacing w:after="0" w:line="225" w:lineRule="exact"/>
        <w:rPr>
          <w:rFonts w:ascii="Arial" w:cs="Arial" w:eastAsia="Arial" w:hAnsi="Arial"/>
          <w:sz w:val="18"/>
          <w:szCs w:val="18"/>
          <w:b w:val="1"/>
          <w:bCs w:val="1"/>
          <w:color w:val="auto"/>
        </w:rPr>
      </w:pPr>
    </w:p>
    <w:p>
      <w:pPr>
        <w:ind w:left="-8" w:right="40" w:firstLine="8"/>
        <w:spacing w:after="0" w:line="277" w:lineRule="auto"/>
        <w:tabs>
          <w:tab w:leader="none" w:pos="262"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Appendix E of the Agreement is hereby deleted in its entirety and replaced with the Appendix E attached hereto as Schedule 2. Forty-Seven confirms that Stanford has fulfilled its obligations to provide the Licensed Information under this Amendment.</w:t>
      </w:r>
    </w:p>
    <w:p>
      <w:pPr>
        <w:spacing w:after="0" w:line="170" w:lineRule="exact"/>
        <w:rPr>
          <w:rFonts w:ascii="Arial" w:cs="Arial" w:eastAsia="Arial" w:hAnsi="Arial"/>
          <w:sz w:val="18"/>
          <w:szCs w:val="18"/>
          <w:b w:val="1"/>
          <w:bCs w:val="1"/>
          <w:color w:val="auto"/>
        </w:rPr>
      </w:pPr>
    </w:p>
    <w:p>
      <w:pPr>
        <w:ind w:left="-8" w:right="80" w:firstLine="8"/>
        <w:spacing w:after="0" w:line="277" w:lineRule="auto"/>
        <w:tabs>
          <w:tab w:leader="none" w:pos="252"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Appendix F of the Agreement is hereby deleted in its entirety and replaced with the Appendix F attached hereto as Schedule 3. Forty-Seven confirms that Stanford has fulfilled its obligations to provide the Licensed Technology under this Amendment.</w:t>
      </w:r>
    </w:p>
    <w:p>
      <w:pPr>
        <w:spacing w:after="0" w:line="170" w:lineRule="exact"/>
        <w:rPr>
          <w:rFonts w:ascii="Arial" w:cs="Arial" w:eastAsia="Arial" w:hAnsi="Arial"/>
          <w:sz w:val="18"/>
          <w:szCs w:val="18"/>
          <w:b w:val="1"/>
          <w:bCs w:val="1"/>
          <w:color w:val="auto"/>
        </w:rPr>
      </w:pPr>
    </w:p>
    <w:p>
      <w:pPr>
        <w:ind w:left="272" w:hanging="272"/>
        <w:spacing w:after="0"/>
        <w:tabs>
          <w:tab w:leader="none" w:pos="272"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In consideration for this Amendment No. 1, Forty-Seven will pay Stanford $[*] within [*] days of the Amendment No. 1 Effective Date.</w:t>
      </w:r>
    </w:p>
    <w:p>
      <w:pPr>
        <w:spacing w:after="0" w:line="225" w:lineRule="exact"/>
        <w:rPr>
          <w:rFonts w:ascii="Arial" w:cs="Arial" w:eastAsia="Arial" w:hAnsi="Arial"/>
          <w:sz w:val="18"/>
          <w:szCs w:val="18"/>
          <w:b w:val="1"/>
          <w:bCs w:val="1"/>
          <w:color w:val="auto"/>
        </w:rPr>
      </w:pPr>
    </w:p>
    <w:p>
      <w:pPr>
        <w:ind w:left="-8" w:right="80" w:firstLine="8"/>
        <w:spacing w:after="0" w:line="276" w:lineRule="auto"/>
        <w:tabs>
          <w:tab w:leader="none" w:pos="262" w:val="left"/>
        </w:tabs>
        <w:numPr>
          <w:ilvl w:val="0"/>
          <w:numId w:val="463"/>
        </w:numPr>
        <w:rPr>
          <w:rFonts w:ascii="Arial" w:cs="Arial" w:eastAsia="Arial" w:hAnsi="Arial"/>
          <w:sz w:val="17"/>
          <w:szCs w:val="17"/>
          <w:b w:val="1"/>
          <w:bCs w:val="1"/>
          <w:color w:val="auto"/>
        </w:rPr>
      </w:pPr>
      <w:r>
        <w:rPr>
          <w:rFonts w:ascii="Arial" w:cs="Arial" w:eastAsia="Arial" w:hAnsi="Arial"/>
          <w:sz w:val="17"/>
          <w:szCs w:val="17"/>
          <w:color w:val="auto"/>
        </w:rPr>
        <w:t>Except as specifically set forth in this Amendment, the terms and conditions of the Agreement shall remain in full force and effect. This Amendment constitutes the entire agreement among the parties with respect to the amendment of the Agreement, and supersedes all prior agreements and understandings, both written and oral, among the parties with respect to the subject matter hereof. No waiver of the performance of any obligation under this Amendment shall be effective unless it has been given in writing and signed by the party giving such waiver. No provision of this Amendment may be amended or modified other than by a written document signed by authorized representatives of each party.</w:t>
      </w:r>
    </w:p>
    <w:p>
      <w:pPr>
        <w:spacing w:after="0" w:line="172" w:lineRule="exact"/>
        <w:rPr>
          <w:rFonts w:ascii="Arial" w:cs="Arial" w:eastAsia="Arial" w:hAnsi="Arial"/>
          <w:sz w:val="17"/>
          <w:szCs w:val="17"/>
          <w:b w:val="1"/>
          <w:bCs w:val="1"/>
          <w:color w:val="auto"/>
        </w:rPr>
      </w:pPr>
    </w:p>
    <w:p>
      <w:pPr>
        <w:ind w:left="-8" w:right="140" w:firstLine="8"/>
        <w:spacing w:after="0" w:line="277" w:lineRule="auto"/>
        <w:tabs>
          <w:tab w:leader="none" w:pos="262"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This Amendment shall be governed by and construed in accordance with the laws of the State of California, United States of America, without reference to any rules of conflict of laws.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{Signatures to follow}</w:t>
      </w:r>
    </w:p>
    <w:p>
      <w:pPr>
        <w:spacing w:after="0" w:line="200" w:lineRule="exact"/>
        <w:rPr>
          <w:sz w:val="20"/>
          <w:szCs w:val="20"/>
          <w:color w:val="auto"/>
        </w:rPr>
      </w:pPr>
    </w:p>
    <w:p>
      <w:pPr>
        <w:spacing w:after="0" w:line="201" w:lineRule="exact"/>
        <w:rPr>
          <w:sz w:val="20"/>
          <w:szCs w:val="20"/>
          <w:color w:val="auto"/>
        </w:rPr>
      </w:pPr>
    </w:p>
    <w:p>
      <w:pPr>
        <w:ind w:left="452" w:right="520" w:hanging="452"/>
        <w:spacing w:after="0" w:line="277" w:lineRule="auto"/>
        <w:tabs>
          <w:tab w:leader="none" w:pos="452"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400" w:name="page401"/>
    <w:bookmarkEnd w:id="4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execute this Amendment in duplicate originals by their duly authorized officers or representatives.</w:t>
      </w: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THE BOARD OF TRUSTEES OF THE LELAND</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STANFORD JUNIOR UNIVERSITY</w:t>
      </w:r>
    </w:p>
    <w:p>
      <w:pPr>
        <w:spacing w:after="0" w:line="22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Signature: /s/ Katharine Ku</w:t>
      </w:r>
    </w:p>
    <w:p>
      <w:pPr>
        <w:spacing w:after="0" w:line="23" w:lineRule="exact"/>
        <w:rPr>
          <w:sz w:val="20"/>
          <w:szCs w:val="20"/>
          <w:color w:val="auto"/>
        </w:rPr>
      </w:pPr>
    </w:p>
    <w:tbl>
      <w:tblPr>
        <w:tblLayout w:type="fixed"/>
        <w:tblInd w:w="1340" w:type="dxa"/>
        <w:tblCellMar>
          <w:top w:w="0" w:type="dxa"/>
          <w:left w:w="0" w:type="dxa"/>
          <w:bottom w:w="0" w:type="dxa"/>
          <w:right w:w="0" w:type="dxa"/>
        </w:tblCellMar>
      </w:tblPr>
      <w:tr>
        <w:trPr>
          <w:trHeight w:val="209"/>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Katharine Ku</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Executive Director</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tcPr>
          <w:p>
            <w:pPr>
              <w:spacing w:after="0"/>
              <w:rPr>
                <w:sz w:val="20"/>
                <w:szCs w:val="20"/>
                <w:color w:val="auto"/>
              </w:rPr>
            </w:pPr>
            <w:r>
              <w:rPr>
                <w:rFonts w:ascii="Arial" w:cs="Arial" w:eastAsia="Arial" w:hAnsi="Arial"/>
                <w:sz w:val="18"/>
                <w:szCs w:val="18"/>
                <w:color w:val="auto"/>
              </w:rPr>
              <w:t>April 19, 2017</w:t>
            </w:r>
          </w:p>
        </w:tc>
      </w:tr>
    </w:tbl>
    <w:p>
      <w:pPr>
        <w:spacing w:after="0" w:line="198"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FORTY SEVEN, INC.</w:t>
      </w:r>
    </w:p>
    <w:p>
      <w:pPr>
        <w:spacing w:after="0" w:line="2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Signature: /s/ Jonathan MacQuitty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14605</wp:posOffset>
            </wp:positionV>
            <wp:extent cx="25984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1340"/>
        <w:spacing w:after="0"/>
        <w:tabs>
          <w:tab w:leader="none" w:pos="2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Jonathan MacQuitty</w:t>
      </w:r>
    </w:p>
    <w:p>
      <w:pPr>
        <w:spacing w:after="0" w:line="9" w:lineRule="exact"/>
        <w:rPr>
          <w:sz w:val="20"/>
          <w:szCs w:val="20"/>
          <w:color w:val="auto"/>
        </w:rPr>
      </w:pPr>
    </w:p>
    <w:p>
      <w:pPr>
        <w:ind w:left="1340"/>
        <w:spacing w:after="0"/>
        <w:tabs>
          <w:tab w:leader="none" w:pos="2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11" w:lineRule="exact"/>
        <w:rPr>
          <w:sz w:val="20"/>
          <w:szCs w:val="20"/>
          <w:color w:val="auto"/>
        </w:rPr>
      </w:pPr>
    </w:p>
    <w:p>
      <w:pPr>
        <w:ind w:left="1340"/>
        <w:spacing w:after="0"/>
        <w:tabs>
          <w:tab w:leader="none" w:pos="2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18, 2017</w:t>
      </w:r>
    </w:p>
    <w:p>
      <w:pPr>
        <w:spacing w:after="0" w:line="158" w:lineRule="exact"/>
        <w:rPr>
          <w:sz w:val="20"/>
          <w:szCs w:val="20"/>
          <w:color w:val="auto"/>
        </w:rPr>
      </w:pPr>
    </w:p>
    <w:p>
      <w:pPr>
        <w:ind w:left="460" w:hanging="452"/>
        <w:spacing w:after="0" w:line="277" w:lineRule="auto"/>
        <w:tabs>
          <w:tab w:leader="none" w:pos="4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7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240" w:top="274" w:right="77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4"/>
          </w:tcPr>
          <w:p>
            <w:pPr>
              <w:jc w:val="center"/>
              <w:ind w:right="2020"/>
              <w:spacing w:after="0"/>
              <w:rPr>
                <w:sz w:val="20"/>
                <w:szCs w:val="20"/>
                <w:color w:val="auto"/>
              </w:rPr>
            </w:pPr>
            <w:r>
              <w:rPr>
                <w:rFonts w:ascii="Arial" w:cs="Arial" w:eastAsia="Arial" w:hAnsi="Arial"/>
                <w:sz w:val="18"/>
                <w:szCs w:val="18"/>
                <w:b w:val="1"/>
                <w:bCs w:val="1"/>
                <w:color w:val="auto"/>
                <w:w w:val="98"/>
              </w:rPr>
              <w:t>SCHEDULE 1</w:t>
            </w:r>
          </w:p>
        </w:tc>
        <w:tc>
          <w:tcPr>
            <w:tcW w:w="302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Appendix D</w:t>
            </w:r>
          </w:p>
        </w:tc>
        <w:tc>
          <w:tcPr>
            <w:tcW w:w="2120" w:type="dxa"/>
            <w:vAlign w:val="bottom"/>
            <w:gridSpan w:val="2"/>
          </w:tcPr>
          <w:p>
            <w:pPr>
              <w:spacing w:after="0"/>
              <w:rPr>
                <w:sz w:val="24"/>
                <w:szCs w:val="24"/>
                <w:color w:val="auto"/>
              </w:rPr>
            </w:pPr>
          </w:p>
        </w:tc>
        <w:tc>
          <w:tcPr>
            <w:tcW w:w="30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560" w:type="dxa"/>
            <w:vAlign w:val="bottom"/>
            <w:gridSpan w:val="5"/>
          </w:tcPr>
          <w:p>
            <w:pPr>
              <w:ind w:left="200"/>
              <w:spacing w:after="0"/>
              <w:rPr>
                <w:sz w:val="20"/>
                <w:szCs w:val="20"/>
                <w:color w:val="auto"/>
              </w:rPr>
            </w:pPr>
            <w:r>
              <w:rPr>
                <w:rFonts w:ascii="Arial" w:cs="Arial" w:eastAsia="Arial" w:hAnsi="Arial"/>
                <w:sz w:val="18"/>
                <w:szCs w:val="18"/>
                <w:b w:val="1"/>
                <w:bCs w:val="1"/>
                <w:color w:val="auto"/>
              </w:rPr>
              <w:t>Exclusive Patents</w:t>
            </w:r>
          </w:p>
        </w:tc>
        <w:tc>
          <w:tcPr>
            <w:tcW w:w="3020" w:type="dxa"/>
            <w:vAlign w:val="bottom"/>
          </w:tcPr>
          <w:p>
            <w:pPr>
              <w:spacing w:after="0"/>
              <w:rPr>
                <w:sz w:val="24"/>
                <w:szCs w:val="24"/>
                <w:color w:val="auto"/>
              </w:rPr>
            </w:pPr>
          </w:p>
        </w:tc>
      </w:tr>
      <w:tr>
        <w:trPr>
          <w:trHeight w:val="36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4"/>
                <w:szCs w:val="14"/>
                <w:b w:val="1"/>
                <w:bCs w:val="1"/>
                <w:color w:val="auto"/>
              </w:rPr>
              <w:t>Issued Patent</w:t>
            </w:r>
          </w:p>
        </w:tc>
      </w:tr>
      <w:tr>
        <w:trPr>
          <w:trHeight w:val="185"/>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Docket</w:t>
            </w:r>
          </w:p>
        </w:tc>
        <w:tc>
          <w:tcPr>
            <w:tcW w:w="3360" w:type="dxa"/>
            <w:vAlign w:val="bottom"/>
          </w:tcPr>
          <w:p>
            <w:pPr>
              <w:spacing w:after="0"/>
              <w:rPr>
                <w:sz w:val="20"/>
                <w:szCs w:val="20"/>
                <w:color w:val="auto"/>
              </w:rPr>
            </w:pPr>
            <w:r>
              <w:rPr>
                <w:rFonts w:ascii="Arial" w:cs="Arial" w:eastAsia="Arial" w:hAnsi="Arial"/>
                <w:sz w:val="14"/>
                <w:szCs w:val="14"/>
                <w:b w:val="1"/>
                <w:bCs w:val="1"/>
                <w:color w:val="auto"/>
              </w:rPr>
              <w:t>Docket Title</w:t>
            </w:r>
          </w:p>
        </w:tc>
        <w:tc>
          <w:tcPr>
            <w:tcW w:w="220" w:type="dxa"/>
            <w:vAlign w:val="bottom"/>
          </w:tcPr>
          <w:p>
            <w:pPr>
              <w:spacing w:after="0"/>
              <w:rPr>
                <w:sz w:val="16"/>
                <w:szCs w:val="16"/>
                <w:color w:val="auto"/>
              </w:rPr>
            </w:pPr>
          </w:p>
        </w:tc>
        <w:tc>
          <w:tcPr>
            <w:tcW w:w="3340" w:type="dxa"/>
            <w:vAlign w:val="bottom"/>
            <w:gridSpan w:val="4"/>
          </w:tcPr>
          <w:p>
            <w:pPr>
              <w:spacing w:after="0"/>
              <w:rPr>
                <w:sz w:val="20"/>
                <w:szCs w:val="20"/>
                <w:color w:val="auto"/>
              </w:rPr>
            </w:pPr>
            <w:r>
              <w:rPr>
                <w:rFonts w:ascii="Arial" w:cs="Arial" w:eastAsia="Arial" w:hAnsi="Arial"/>
                <w:sz w:val="14"/>
                <w:szCs w:val="14"/>
                <w:b w:val="1"/>
                <w:bCs w:val="1"/>
                <w:color w:val="auto"/>
              </w:rPr>
              <w:t>Serial Number</w:t>
            </w:r>
          </w:p>
        </w:tc>
        <w:tc>
          <w:tcPr>
            <w:tcW w:w="3020" w:type="dxa"/>
            <w:vAlign w:val="bottom"/>
          </w:tcPr>
          <w:p>
            <w:pPr>
              <w:spacing w:after="0"/>
              <w:rPr>
                <w:sz w:val="20"/>
                <w:szCs w:val="20"/>
                <w:color w:val="auto"/>
              </w:rPr>
            </w:pPr>
            <w:r>
              <w:rPr>
                <w:rFonts w:ascii="Arial" w:cs="Arial" w:eastAsia="Arial" w:hAnsi="Arial"/>
                <w:sz w:val="14"/>
                <w:szCs w:val="14"/>
                <w:b w:val="1"/>
                <w:bCs w:val="1"/>
                <w:color w:val="auto"/>
              </w:rPr>
              <w:t>Number</w:t>
            </w:r>
          </w:p>
        </w:tc>
      </w:tr>
      <w:tr>
        <w:trPr>
          <w:trHeight w:val="224"/>
        </w:trPr>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540" w:hanging="452"/>
        <w:spacing w:after="0" w:line="277" w:lineRule="auto"/>
        <w:tabs>
          <w:tab w:leader="none" w:pos="46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57" w:right="239" w:bottom="1440" w:gutter="0" w:footer="0" w:header="0"/>
        </w:sectPr>
      </w:pPr>
    </w:p>
    <w:bookmarkStart w:id="402" w:name="page403"/>
    <w:bookmarkEnd w:id="402"/>
    <w:p>
      <w:pPr>
        <w:jc w:val="center"/>
        <w:ind w:right="-55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Appendix E</w:t>
      </w:r>
    </w:p>
    <w:p>
      <w:pPr>
        <w:spacing w:after="0" w:line="22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Licensed Information</w:t>
      </w:r>
    </w:p>
    <w:p>
      <w:pPr>
        <w:spacing w:after="0" w:line="229"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52" w:hanging="452"/>
        <w:spacing w:after="0" w:line="277" w:lineRule="auto"/>
        <w:tabs>
          <w:tab w:leader="none" w:pos="452"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70"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72"/>
          </w:cols>
          <w:pgMar w:left="248" w:top="269" w:right="779" w:bottom="1440" w:gutter="0" w:footer="0" w:header="0"/>
        </w:sectPr>
      </w:pPr>
    </w:p>
    <w:bookmarkStart w:id="403" w:name="page404"/>
    <w:bookmarkEnd w:id="403"/>
    <w:p>
      <w:pPr>
        <w:jc w:val="center"/>
        <w:ind w:right="-55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Appendix F</w:t>
      </w:r>
    </w:p>
    <w:p>
      <w:pPr>
        <w:spacing w:after="0" w:line="22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Licensed Technology</w:t>
      </w:r>
    </w:p>
    <w:p>
      <w:pPr>
        <w:spacing w:after="0" w:line="229"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52" w:hanging="452"/>
        <w:spacing w:after="0" w:line="277" w:lineRule="auto"/>
        <w:tabs>
          <w:tab w:leader="none" w:pos="452" w:val="left"/>
        </w:tabs>
        <w:numPr>
          <w:ilvl w:val="0"/>
          <w:numId w:val="46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70"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72"/>
          </w:cols>
          <w:pgMar w:left="248" w:top="269" w:right="77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171450</wp:posOffset>
            </wp:positionV>
            <wp:extent cx="1080770" cy="2489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2">
                      <a:extLst>
                        <a:ext uri="{28A0092B-C50C-407E-A947-70E740481C1C}"/>
                      </a:extLst>
                    </a:blip>
                    <a:srcRect/>
                    <a:stretch>
                      <a:fillRect/>
                    </a:stretch>
                  </pic:blipFill>
                  <pic:spPr bwMode="auto">
                    <a:xfrm>
                      <a:off x="0" y="0"/>
                      <a:ext cx="108077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ind w:firstLine="8"/>
        <w:spacing w:after="0" w:line="282" w:lineRule="auto"/>
        <w:tabs>
          <w:tab w:leader="none" w:pos="255"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Assigned Capacity and Manufacturing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Lonza Sales AG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Münchensteinerstrasse 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CH-4002 Basel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11"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 hereinafter “Lonza”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Forty Seven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1490 O’Brien Drive, Suite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 USA</w:t>
      </w:r>
    </w:p>
    <w:p>
      <w:pPr>
        <w:spacing w:after="0" w:line="211"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 hereinafter “Forty Seven”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30</w:t>
      </w:r>
      <w:r>
        <w:rPr>
          <w:rFonts w:ascii="Arial" w:cs="Arial" w:eastAsia="Arial" w:hAnsi="Arial"/>
          <w:sz w:val="15"/>
          <w:szCs w:val="15"/>
          <w:color w:val="auto"/>
        </w:rPr>
        <w:t>th</w:t>
      </w:r>
      <w:r>
        <w:rPr>
          <w:rFonts w:ascii="Arial" w:cs="Arial" w:eastAsia="Arial" w:hAnsi="Arial"/>
          <w:sz w:val="18"/>
          <w:szCs w:val="18"/>
          <w:color w:val="auto"/>
        </w:rPr>
        <w:t xml:space="preserve"> of August, 2016 (the “Effective Date”)</w:t>
      </w:r>
    </w:p>
    <w:p>
      <w:pPr>
        <w:sectPr>
          <w:pgSz w:w="11900" w:h="16838" w:orient="portrait"/>
          <w:cols w:equalWidth="0" w:num="1">
            <w:col w:w="11420"/>
          </w:cols>
          <w:pgMar w:left="240" w:top="122" w:right="23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4">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8240" w:type="dxa"/>
            <w:vAlign w:val="bottom"/>
            <w:gridSpan w:val="2"/>
          </w:tcPr>
          <w:p>
            <w:pPr>
              <w:ind w:left="100"/>
              <w:spacing w:after="0"/>
              <w:rPr>
                <w:sz w:val="20"/>
                <w:szCs w:val="20"/>
                <w:color w:val="auto"/>
              </w:rPr>
            </w:pPr>
            <w:r>
              <w:rPr>
                <w:rFonts w:ascii="Arial" w:cs="Arial" w:eastAsia="Arial" w:hAnsi="Arial"/>
                <w:sz w:val="18"/>
                <w:szCs w:val="18"/>
                <w:color w:val="auto"/>
              </w:rPr>
              <w:t>Definitions and Interpretation</w:t>
            </w:r>
          </w:p>
        </w:tc>
        <w:tc>
          <w:tcPr>
            <w:tcW w:w="2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8240" w:type="dxa"/>
            <w:vAlign w:val="bottom"/>
            <w:gridSpan w:val="2"/>
          </w:tcPr>
          <w:p>
            <w:pPr>
              <w:ind w:left="100"/>
              <w:spacing w:after="0"/>
              <w:rPr>
                <w:sz w:val="20"/>
                <w:szCs w:val="20"/>
                <w:color w:val="auto"/>
              </w:rPr>
            </w:pPr>
            <w:r>
              <w:rPr>
                <w:rFonts w:ascii="Arial" w:cs="Arial" w:eastAsia="Arial" w:hAnsi="Arial"/>
                <w:sz w:val="18"/>
                <w:szCs w:val="18"/>
                <w:color w:val="auto"/>
              </w:rPr>
              <w:t>Performance of Services</w:t>
            </w:r>
          </w:p>
        </w:tc>
        <w:tc>
          <w:tcPr>
            <w:tcW w:w="2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8240" w:type="dxa"/>
            <w:vAlign w:val="bottom"/>
            <w:gridSpan w:val="2"/>
          </w:tcPr>
          <w:p>
            <w:pPr>
              <w:ind w:left="100"/>
              <w:spacing w:after="0"/>
              <w:rPr>
                <w:sz w:val="20"/>
                <w:szCs w:val="20"/>
                <w:color w:val="auto"/>
              </w:rPr>
            </w:pPr>
            <w:r>
              <w:rPr>
                <w:rFonts w:ascii="Arial" w:cs="Arial" w:eastAsia="Arial" w:hAnsi="Arial"/>
                <w:sz w:val="18"/>
                <w:szCs w:val="18"/>
                <w:color w:val="auto"/>
              </w:rPr>
              <w:t>Project Management / Steering Committee</w:t>
            </w:r>
          </w:p>
        </w:tc>
        <w:tc>
          <w:tcPr>
            <w:tcW w:w="2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280" w:type="dxa"/>
            <w:vAlign w:val="bottom"/>
          </w:tcPr>
          <w:p>
            <w:pPr>
              <w:ind w:left="100"/>
              <w:spacing w:after="0"/>
              <w:rPr>
                <w:sz w:val="20"/>
                <w:szCs w:val="20"/>
                <w:color w:val="auto"/>
              </w:rPr>
            </w:pPr>
            <w:r>
              <w:rPr>
                <w:rFonts w:ascii="Arial" w:cs="Arial" w:eastAsia="Arial" w:hAnsi="Arial"/>
                <w:sz w:val="18"/>
                <w:szCs w:val="18"/>
                <w:color w:val="auto"/>
              </w:rPr>
              <w:t>Quality</w:t>
            </w:r>
          </w:p>
        </w:tc>
        <w:tc>
          <w:tcPr>
            <w:tcW w:w="696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128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696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8240" w:type="dxa"/>
            <w:vAlign w:val="bottom"/>
            <w:gridSpan w:val="2"/>
          </w:tcPr>
          <w:p>
            <w:pPr>
              <w:ind w:left="100"/>
              <w:spacing w:after="0"/>
              <w:rPr>
                <w:sz w:val="20"/>
                <w:szCs w:val="20"/>
                <w:color w:val="auto"/>
              </w:rPr>
            </w:pPr>
            <w:r>
              <w:rPr>
                <w:rFonts w:ascii="Arial" w:cs="Arial" w:eastAsia="Arial" w:hAnsi="Arial"/>
                <w:sz w:val="18"/>
                <w:szCs w:val="18"/>
                <w:color w:val="auto"/>
              </w:rPr>
              <w:t>Assigned Capacity, Alternate Product, Forecasting, Ordering and Cancellation</w:t>
            </w:r>
          </w:p>
        </w:tc>
        <w:tc>
          <w:tcPr>
            <w:tcW w:w="2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8240" w:type="dxa"/>
            <w:vAlign w:val="bottom"/>
            <w:gridSpan w:val="2"/>
          </w:tcPr>
          <w:p>
            <w:pPr>
              <w:ind w:left="100"/>
              <w:spacing w:after="0"/>
              <w:rPr>
                <w:sz w:val="20"/>
                <w:szCs w:val="20"/>
                <w:color w:val="auto"/>
              </w:rPr>
            </w:pPr>
            <w:r>
              <w:rPr>
                <w:rFonts w:ascii="Arial" w:cs="Arial" w:eastAsia="Arial" w:hAnsi="Arial"/>
                <w:sz w:val="18"/>
                <w:szCs w:val="18"/>
                <w:color w:val="auto"/>
              </w:rPr>
              <w:t>Delivery and Acceptance</w:t>
            </w:r>
          </w:p>
        </w:tc>
        <w:tc>
          <w:tcPr>
            <w:tcW w:w="2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8240" w:type="dxa"/>
            <w:vAlign w:val="bottom"/>
            <w:gridSpan w:val="2"/>
          </w:tcPr>
          <w:p>
            <w:pPr>
              <w:ind w:left="100"/>
              <w:spacing w:after="0"/>
              <w:rPr>
                <w:sz w:val="20"/>
                <w:szCs w:val="20"/>
                <w:color w:val="auto"/>
              </w:rPr>
            </w:pPr>
            <w:r>
              <w:rPr>
                <w:rFonts w:ascii="Arial" w:cs="Arial" w:eastAsia="Arial" w:hAnsi="Arial"/>
                <w:sz w:val="18"/>
                <w:szCs w:val="18"/>
                <w:color w:val="auto"/>
              </w:rPr>
              <w:t>Price and Payment</w:t>
            </w:r>
          </w:p>
        </w:tc>
        <w:tc>
          <w:tcPr>
            <w:tcW w:w="2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8240" w:type="dxa"/>
            <w:vAlign w:val="bottom"/>
            <w:gridSpan w:val="2"/>
          </w:tcPr>
          <w:p>
            <w:pPr>
              <w:ind w:left="100"/>
              <w:spacing w:after="0"/>
              <w:rPr>
                <w:sz w:val="20"/>
                <w:szCs w:val="20"/>
                <w:color w:val="auto"/>
              </w:rPr>
            </w:pPr>
            <w:r>
              <w:rPr>
                <w:rFonts w:ascii="Arial" w:cs="Arial" w:eastAsia="Arial" w:hAnsi="Arial"/>
                <w:sz w:val="18"/>
                <w:szCs w:val="18"/>
                <w:color w:val="auto"/>
              </w:rPr>
              <w:t>[Intentionally Omitted.]</w:t>
            </w:r>
          </w:p>
        </w:tc>
        <w:tc>
          <w:tcPr>
            <w:tcW w:w="2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8240" w:type="dxa"/>
            <w:vAlign w:val="bottom"/>
            <w:gridSpan w:val="2"/>
          </w:tcPr>
          <w:p>
            <w:pPr>
              <w:ind w:left="100"/>
              <w:spacing w:after="0"/>
              <w:rPr>
                <w:sz w:val="20"/>
                <w:szCs w:val="20"/>
                <w:color w:val="auto"/>
              </w:rPr>
            </w:pPr>
            <w:r>
              <w:rPr>
                <w:rFonts w:ascii="Arial" w:cs="Arial" w:eastAsia="Arial" w:hAnsi="Arial"/>
                <w:sz w:val="18"/>
                <w:szCs w:val="18"/>
                <w:color w:val="auto"/>
              </w:rPr>
              <w:t>Intellectual Property</w:t>
            </w:r>
          </w:p>
        </w:tc>
        <w:tc>
          <w:tcPr>
            <w:tcW w:w="2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1280" w:type="dxa"/>
            <w:vAlign w:val="bottom"/>
          </w:tcPr>
          <w:p>
            <w:pPr>
              <w:ind w:left="100"/>
              <w:spacing w:after="0"/>
              <w:rPr>
                <w:sz w:val="20"/>
                <w:szCs w:val="20"/>
                <w:color w:val="auto"/>
              </w:rPr>
            </w:pPr>
            <w:r>
              <w:rPr>
                <w:rFonts w:ascii="Arial" w:cs="Arial" w:eastAsia="Arial" w:hAnsi="Arial"/>
                <w:sz w:val="18"/>
                <w:szCs w:val="18"/>
                <w:color w:val="auto"/>
              </w:rPr>
              <w:t>Warranties</w:t>
            </w:r>
          </w:p>
        </w:tc>
        <w:tc>
          <w:tcPr>
            <w:tcW w:w="696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8240" w:type="dxa"/>
            <w:vAlign w:val="bottom"/>
            <w:gridSpan w:val="2"/>
          </w:tcPr>
          <w:p>
            <w:pPr>
              <w:ind w:left="100"/>
              <w:spacing w:after="0"/>
              <w:rPr>
                <w:sz w:val="20"/>
                <w:szCs w:val="20"/>
                <w:color w:val="auto"/>
              </w:rPr>
            </w:pPr>
            <w:r>
              <w:rPr>
                <w:rFonts w:ascii="Arial" w:cs="Arial" w:eastAsia="Arial" w:hAnsi="Arial"/>
                <w:sz w:val="18"/>
                <w:szCs w:val="18"/>
                <w:color w:val="auto"/>
              </w:rPr>
              <w:t>Indemnification and Liability</w:t>
            </w:r>
          </w:p>
        </w:tc>
        <w:tc>
          <w:tcPr>
            <w:tcW w:w="2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128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696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8240" w:type="dxa"/>
            <w:vAlign w:val="bottom"/>
            <w:gridSpan w:val="2"/>
          </w:tcPr>
          <w:p>
            <w:pPr>
              <w:ind w:left="100"/>
              <w:spacing w:after="0"/>
              <w:rPr>
                <w:sz w:val="20"/>
                <w:szCs w:val="20"/>
                <w:color w:val="auto"/>
              </w:rPr>
            </w:pPr>
            <w:r>
              <w:rPr>
                <w:rFonts w:ascii="Arial" w:cs="Arial" w:eastAsia="Arial" w:hAnsi="Arial"/>
                <w:sz w:val="18"/>
                <w:szCs w:val="18"/>
                <w:color w:val="auto"/>
              </w:rPr>
              <w:t>Term and Termination</w:t>
            </w:r>
          </w:p>
        </w:tc>
        <w:tc>
          <w:tcPr>
            <w:tcW w:w="2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1280" w:type="dxa"/>
            <w:vAlign w:val="bottom"/>
          </w:tcPr>
          <w:p>
            <w:pPr>
              <w:ind w:left="100"/>
              <w:spacing w:after="0"/>
              <w:rPr>
                <w:sz w:val="20"/>
                <w:szCs w:val="20"/>
                <w:color w:val="auto"/>
              </w:rPr>
            </w:pPr>
            <w:r>
              <w:rPr>
                <w:rFonts w:ascii="Arial" w:cs="Arial" w:eastAsia="Arial" w:hAnsi="Arial"/>
                <w:sz w:val="18"/>
                <w:szCs w:val="18"/>
                <w:color w:val="auto"/>
                <w:w w:val="99"/>
              </w:rPr>
              <w:t>Force Majeure</w:t>
            </w:r>
          </w:p>
        </w:tc>
        <w:tc>
          <w:tcPr>
            <w:tcW w:w="696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128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696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45"/>
        </w:trPr>
        <w:tc>
          <w:tcPr>
            <w:tcW w:w="1620" w:type="dxa"/>
            <w:vAlign w:val="bottom"/>
            <w:gridSpan w:val="2"/>
          </w:tcPr>
          <w:p>
            <w:pPr>
              <w:spacing w:after="0"/>
              <w:rPr>
                <w:sz w:val="20"/>
                <w:szCs w:val="20"/>
                <w:color w:val="auto"/>
              </w:rPr>
            </w:pPr>
            <w:r>
              <w:rPr>
                <w:rFonts w:ascii="Arial" w:cs="Arial" w:eastAsia="Arial" w:hAnsi="Arial"/>
                <w:sz w:val="18"/>
                <w:szCs w:val="18"/>
                <w:color w:val="auto"/>
              </w:rPr>
              <w:t>Appendix A</w:t>
            </w:r>
          </w:p>
        </w:tc>
        <w:tc>
          <w:tcPr>
            <w:tcW w:w="6960" w:type="dxa"/>
            <w:vAlign w:val="bottom"/>
          </w:tcPr>
          <w:p>
            <w:pPr>
              <w:ind w:left="100"/>
              <w:spacing w:after="0"/>
              <w:rPr>
                <w:sz w:val="20"/>
                <w:szCs w:val="20"/>
                <w:color w:val="auto"/>
              </w:rPr>
            </w:pPr>
            <w:r>
              <w:rPr>
                <w:rFonts w:ascii="Arial" w:cs="Arial" w:eastAsia="Arial" w:hAnsi="Arial"/>
                <w:sz w:val="18"/>
                <w:szCs w:val="18"/>
                <w:color w:val="auto"/>
              </w:rPr>
              <w:t>Project Plan</w:t>
            </w:r>
          </w:p>
        </w:tc>
        <w:tc>
          <w:tcPr>
            <w:tcW w:w="2780" w:type="dxa"/>
            <w:vAlign w:val="bottom"/>
          </w:tcPr>
          <w:p>
            <w:pPr>
              <w:spacing w:after="0"/>
              <w:rPr>
                <w:sz w:val="24"/>
                <w:szCs w:val="24"/>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Appendix B</w:t>
            </w:r>
          </w:p>
        </w:tc>
        <w:tc>
          <w:tcPr>
            <w:tcW w:w="6960" w:type="dxa"/>
            <w:vAlign w:val="bottom"/>
          </w:tcPr>
          <w:p>
            <w:pPr>
              <w:ind w:left="100"/>
              <w:spacing w:after="0"/>
              <w:rPr>
                <w:sz w:val="20"/>
                <w:szCs w:val="20"/>
                <w:color w:val="auto"/>
              </w:rPr>
            </w:pPr>
            <w:r>
              <w:rPr>
                <w:rFonts w:ascii="Arial" w:cs="Arial" w:eastAsia="Arial" w:hAnsi="Arial"/>
                <w:sz w:val="18"/>
                <w:szCs w:val="18"/>
                <w:color w:val="auto"/>
              </w:rPr>
              <w:t>(I) Price and (I) Outline Technology Transfer Terms</w:t>
            </w:r>
          </w:p>
        </w:tc>
        <w:tc>
          <w:tcPr>
            <w:tcW w:w="2780" w:type="dxa"/>
            <w:vAlign w:val="bottom"/>
          </w:tcPr>
          <w:p>
            <w:pPr>
              <w:spacing w:after="0"/>
              <w:rPr>
                <w:sz w:val="18"/>
                <w:szCs w:val="18"/>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Appendix C</w:t>
            </w:r>
          </w:p>
        </w:tc>
        <w:tc>
          <w:tcPr>
            <w:tcW w:w="6960" w:type="dxa"/>
            <w:vAlign w:val="bottom"/>
          </w:tcPr>
          <w:p>
            <w:pPr>
              <w:ind w:left="100"/>
              <w:spacing w:after="0"/>
              <w:rPr>
                <w:sz w:val="20"/>
                <w:szCs w:val="20"/>
                <w:color w:val="auto"/>
              </w:rPr>
            </w:pPr>
            <w:r>
              <w:rPr>
                <w:rFonts w:ascii="Arial" w:cs="Arial" w:eastAsia="Arial" w:hAnsi="Arial"/>
                <w:sz w:val="18"/>
                <w:szCs w:val="18"/>
                <w:color w:val="auto"/>
              </w:rPr>
              <w:t>Quality Agreement</w:t>
            </w:r>
          </w:p>
        </w:tc>
        <w:tc>
          <w:tcPr>
            <w:tcW w:w="2780" w:type="dxa"/>
            <w:vAlign w:val="bottom"/>
          </w:tcPr>
          <w:p>
            <w:pPr>
              <w:spacing w:after="0"/>
              <w:rPr>
                <w:sz w:val="18"/>
                <w:szCs w:val="18"/>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Appendix D</w:t>
            </w:r>
          </w:p>
        </w:tc>
        <w:tc>
          <w:tcPr>
            <w:tcW w:w="6960" w:type="dxa"/>
            <w:vAlign w:val="bottom"/>
          </w:tcPr>
          <w:p>
            <w:pPr>
              <w:ind w:left="100"/>
              <w:spacing w:after="0"/>
              <w:rPr>
                <w:sz w:val="20"/>
                <w:szCs w:val="20"/>
                <w:color w:val="auto"/>
              </w:rPr>
            </w:pPr>
            <w:r>
              <w:rPr>
                <w:rFonts w:ascii="Arial" w:cs="Arial" w:eastAsia="Arial" w:hAnsi="Arial"/>
                <w:sz w:val="18"/>
                <w:szCs w:val="18"/>
                <w:color w:val="auto"/>
              </w:rPr>
              <w:t>Specifications</w:t>
            </w:r>
          </w:p>
        </w:tc>
        <w:tc>
          <w:tcPr>
            <w:tcW w:w="2780" w:type="dxa"/>
            <w:vAlign w:val="bottom"/>
          </w:tcPr>
          <w:p>
            <w:pPr>
              <w:spacing w:after="0"/>
              <w:rPr>
                <w:sz w:val="18"/>
                <w:szCs w:val="18"/>
                <w:color w:val="auto"/>
              </w:rPr>
            </w:pPr>
          </w:p>
        </w:tc>
      </w:t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Appendix E</w:t>
            </w:r>
          </w:p>
        </w:tc>
        <w:tc>
          <w:tcPr>
            <w:tcW w:w="6960" w:type="dxa"/>
            <w:vAlign w:val="bottom"/>
          </w:tcPr>
          <w:p>
            <w:pPr>
              <w:ind w:left="100"/>
              <w:spacing w:after="0"/>
              <w:rPr>
                <w:sz w:val="20"/>
                <w:szCs w:val="20"/>
                <w:color w:val="auto"/>
              </w:rPr>
            </w:pPr>
            <w:r>
              <w:rPr>
                <w:rFonts w:ascii="Arial" w:cs="Arial" w:eastAsia="Arial" w:hAnsi="Arial"/>
                <w:sz w:val="18"/>
                <w:szCs w:val="18"/>
                <w:color w:val="auto"/>
              </w:rPr>
              <w:t>Approved Entities</w:t>
            </w:r>
          </w:p>
        </w:tc>
        <w:tc>
          <w:tcPr>
            <w:tcW w:w="2780" w:type="dxa"/>
            <w:vAlign w:val="bottom"/>
          </w:tcPr>
          <w:p>
            <w:pPr>
              <w:spacing w:after="0"/>
              <w:rPr>
                <w:sz w:val="20"/>
                <w:szCs w:val="20"/>
                <w:color w:val="auto"/>
              </w:rPr>
            </w:pPr>
          </w:p>
        </w:tc>
      </w:tr>
    </w:tbl>
    <w:p>
      <w:pPr>
        <w:spacing w:after="0" w:line="134" w:lineRule="exact"/>
        <w:rPr>
          <w:sz w:val="20"/>
          <w:szCs w:val="20"/>
          <w:color w:val="auto"/>
        </w:rPr>
      </w:pPr>
    </w:p>
    <w:p>
      <w:pPr>
        <w:ind w:right="680" w:firstLine="8"/>
        <w:spacing w:after="0" w:line="277" w:lineRule="auto"/>
        <w:tabs>
          <w:tab w:leader="none" w:pos="25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881" w:right="29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6">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WHEREAS, Forty Seven is engaged in the development and research of certain products for the treatment of various indications (as further defined below,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Lonza and its Affiliates have expertise in the evaluation, development and manufacture of such Products;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WHEREAS, Forty Seven wishes to engage Lonza for Services relating to the development and manufacture of the Product as described in this Agreement; and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WHEREAS, Lonza, or its Affiliate, is prepared to perform such Services for Forty Seven in accordance with the terms and subject to the conditions set out herein.</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for other good and valuable consideration, the parties intending to be legally bound, agree as follows:</w:t>
      </w:r>
    </w:p>
    <w:p>
      <w:pPr>
        <w:spacing w:after="0" w:line="315" w:lineRule="exact"/>
        <w:rPr>
          <w:sz w:val="20"/>
          <w:szCs w:val="20"/>
          <w:color w:val="auto"/>
        </w:rPr>
      </w:pPr>
    </w:p>
    <w:p>
      <w:pPr>
        <w:ind w:left="580" w:hanging="572"/>
        <w:spacing w:after="0"/>
        <w:tabs>
          <w:tab w:leader="none" w:pos="580"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ectPr>
          <w:pgSz w:w="11900" w:h="16838" w:orient="portrait"/>
          <w:cols w:equalWidth="0" w:num="1">
            <w:col w:w="11420"/>
          </w:cols>
          <w:pgMar w:left="240" w:top="881"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“Affiliate”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means any company, partnership or other entity which directly 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indirectly Controls, is Controlled by or is under common Control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relevant Party. “Control” means the ownership of more than fifty percent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of the issued share capital or the legal power to direct or cause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direction of the general management and policies of the relevant Party.</w:t>
      </w:r>
    </w:p>
    <w:p>
      <w:pPr>
        <w:spacing w:after="0" w:line="126"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this agreement incorporating all Appendices, as amended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 to time by written agreement of the Parties.</w:t>
      </w:r>
    </w:p>
    <w:p>
      <w:pPr>
        <w:spacing w:after="0" w:line="10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Alternate Product(s)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spacing w:after="0" w:line="302" w:lineRule="auto"/>
        <w:rPr>
          <w:sz w:val="20"/>
          <w:szCs w:val="20"/>
          <w:color w:val="auto"/>
        </w:rPr>
      </w:pPr>
      <w:r>
        <w:rPr>
          <w:rFonts w:ascii="Arial" w:cs="Arial" w:eastAsia="Arial" w:hAnsi="Arial"/>
          <w:sz w:val="16"/>
          <w:szCs w:val="16"/>
          <w:i w:val="1"/>
          <w:iCs w:val="1"/>
          <w:color w:val="auto"/>
        </w:rPr>
        <w:t>means any product(s) which the Parties agree may be substituted in place of or manufactured in addition to the CD47 Product in accordance with Clause 6.2, and after such substitution all references in this Agreement to “Product” shall be deemed to apply to such Alternate Product(s)</w:t>
      </w:r>
      <w:r>
        <w:rPr>
          <w:rFonts w:ascii="Arial" w:cs="Arial" w:eastAsia="Arial" w:hAnsi="Arial"/>
          <w:sz w:val="16"/>
          <w:szCs w:val="16"/>
          <w:color w:val="auto"/>
        </w:rPr>
        <w:t>.</w:t>
      </w:r>
    </w:p>
    <w:p>
      <w:pPr>
        <w:spacing w:after="0" w:line="46"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“Applicable Laws”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7"/>
          <w:szCs w:val="17"/>
          <w:color w:val="auto"/>
        </w:rPr>
        <w:t>means all relevant U.S., U.K. and European Union, federal, state and local laws, statutes, rules, and regulations which are applicable to a Party’s activities hereunder, including, without limitation, the applicable regulations and guidelines of any Governmental Authority and cGMP together with amendments thereto.</w:t>
      </w:r>
    </w:p>
    <w:p>
      <w:pPr>
        <w:spacing w:after="0" w:line="64"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“Assigned Capacity”</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means the annual capacity at the Facility assigned by Lonza to Forty Seven for the manufacture of cGMP Batches as described in clause 6.1.</w:t>
      </w:r>
    </w:p>
    <w:p>
      <w:pPr>
        <w:spacing w:after="0" w:line="56"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ind w:right="740" w:firstLine="8"/>
        <w:spacing w:after="0" w:line="277" w:lineRule="auto"/>
        <w:tabs>
          <w:tab w:leader="none" w:pos="25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81" w:right="239" w:bottom="1440" w:gutter="0" w:footer="0" w:header="0"/>
          <w:type w:val="continuous"/>
        </w:sectPr>
      </w:pPr>
    </w:p>
    <w:bookmarkStart w:id="407" w:name="page408"/>
    <w:bookmarkEnd w:id="40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ectPr>
          <w:pgSz w:w="11900" w:h="16838" w:orient="portrait"/>
          <w:cols w:equalWidth="0" w:num="1">
            <w:col w:w="11420"/>
          </w:cols>
          <w:pgMar w:left="240" w:top="881" w:right="239" w:bottom="1440" w:gutter="0" w:footer="0" w:header="0"/>
        </w:sect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“Background Intellectual Property”</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means any intellectual Property either (i) owned or controlled by a Party prior to the Effective Date or (ii) developed or acquired by a Party independently from the performance of the Services hereunder during the Term of this Agreement.</w:t>
      </w:r>
    </w:p>
    <w:p>
      <w:pPr>
        <w:spacing w:after="0" w:line="79"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“Batch”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means the Product derived from a single run of the Manufacturing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Process at the Facility [*] and associated analytical testing required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release of the Product.</w:t>
      </w:r>
    </w:p>
    <w:p>
      <w:pPr>
        <w:spacing w:after="0" w:line="10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“CD47 Product”</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means the human IgG antibody produced by the Cell Line, known as SSCI047 that binds to CD47 and of which Forty Seven is the proprietor as set out in Appendix D.</w:t>
      </w:r>
    </w:p>
    <w:p>
      <w:pPr>
        <w:spacing w:after="0" w:line="7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“Cell 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GS-CHO cell line expressing Product, created by Lonza under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Prior MSA, the particulars of which are set out in Appendix D,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which does not include Lonza’s host cell lines.</w:t>
      </w:r>
    </w:p>
    <w:p>
      <w:pPr>
        <w:spacing w:after="0" w:line="10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“Certificate of Analysis”</w:t>
      </w:r>
    </w:p>
    <w:p>
      <w:pPr>
        <w:spacing w:after="0" w:line="20" w:lineRule="exact"/>
        <w:rPr>
          <w:sz w:val="20"/>
          <w:szCs w:val="20"/>
          <w:color w:val="auto"/>
        </w:rPr>
      </w:pPr>
      <w:r>
        <w:rPr>
          <w:sz w:val="20"/>
          <w:szCs w:val="20"/>
          <w:color w:val="auto"/>
        </w:rPr>
        <w:br w:type="column"/>
      </w:r>
    </w:p>
    <w:p>
      <w:pPr>
        <w:ind w:right="60"/>
        <w:spacing w:after="0" w:line="342" w:lineRule="auto"/>
        <w:rPr>
          <w:sz w:val="20"/>
          <w:szCs w:val="20"/>
          <w:color w:val="auto"/>
        </w:rPr>
      </w:pPr>
      <w:r>
        <w:rPr>
          <w:rFonts w:ascii="Arial" w:cs="Arial" w:eastAsia="Arial" w:hAnsi="Arial"/>
          <w:sz w:val="16"/>
          <w:szCs w:val="16"/>
          <w:color w:val="auto"/>
        </w:rPr>
        <w:t>means a document prepared by Lonza listing tests performed by Lonza or approved External Laboratories, the Specifications and test results.</w:t>
      </w:r>
    </w:p>
    <w:p>
      <w:pPr>
        <w:spacing w:after="0" w:line="16"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“Certificate of Compliance”</w:t>
      </w:r>
    </w:p>
    <w:p>
      <w:pPr>
        <w:spacing w:after="0" w:line="20" w:lineRule="exact"/>
        <w:rPr>
          <w:sz w:val="20"/>
          <w:szCs w:val="20"/>
          <w:color w:val="auto"/>
        </w:rPr>
      </w:pPr>
      <w:r>
        <w:rPr>
          <w:sz w:val="20"/>
          <w:szCs w:val="20"/>
          <w:color w:val="auto"/>
        </w:rPr>
        <w:br w:type="column"/>
      </w:r>
    </w:p>
    <w:p>
      <w:pPr>
        <w:ind w:right="120"/>
        <w:spacing w:after="0" w:line="279" w:lineRule="auto"/>
        <w:rPr>
          <w:sz w:val="20"/>
          <w:szCs w:val="20"/>
          <w:color w:val="auto"/>
        </w:rPr>
      </w:pPr>
      <w:r>
        <w:rPr>
          <w:rFonts w:ascii="Arial" w:cs="Arial" w:eastAsia="Arial" w:hAnsi="Arial"/>
          <w:sz w:val="17"/>
          <w:szCs w:val="17"/>
          <w:color w:val="auto"/>
        </w:rPr>
        <w:t>means a document prepared by Lonza: (i) listing the manufacturing date, unique Batch number, and concentration of Product in such Batch, (i¡) certifying that such Batch was manufactured in accordance with the Master Batch Record and cGMP</w:t>
      </w:r>
    </w:p>
    <w:p>
      <w:pPr>
        <w:spacing w:after="0" w:line="6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“cGMP”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means those laws and regulations applicable in the U.S., U.K.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relating to the manufacture of medicinal products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human use, including, without limitation, current good manufacturing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practices as specified in the ICH guidelines, including without limitation,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ICH Q7A “ICH Good Manufacturing Practice Guide for Active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Pharmaceutical ingredients”, US Federal Food Drug and Cosmetic Act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21CFR (Chapters 210, 211, 600 and 610) and the Guide to Good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Manufacturing Practices for Medicinal Products as promulgated 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European Directive 91/356/EEC. For the avoidance of doubt, Lonza’s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operational quality standards are defined in internal cGMP policy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10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“cGMP Batches”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Batches which are required under the Project Plan to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manufactured in accordance with cGMP.</w:t>
      </w:r>
    </w:p>
    <w:p>
      <w:pPr>
        <w:spacing w:after="0" w:line="14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ind w:right="740" w:firstLine="8"/>
        <w:spacing w:after="0" w:line="277" w:lineRule="auto"/>
        <w:tabs>
          <w:tab w:leader="none" w:pos="25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81" w:right="239" w:bottom="1440" w:gutter="0" w:footer="0" w:header="0"/>
          <w:type w:val="continuous"/>
        </w:sectPr>
      </w:pPr>
    </w:p>
    <w:bookmarkStart w:id="408" w:name="page409"/>
    <w:bookmarkEnd w:id="40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ectPr>
          <w:pgSz w:w="11900" w:h="16838" w:orient="portrait"/>
          <w:cols w:equalWidth="0" w:num="1">
            <w:col w:w="11380"/>
          </w:cols>
          <w:pgMar w:left="240" w:top="881" w:right="279" w:bottom="1440" w:gutter="0" w:footer="0" w:header="0"/>
        </w:sect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means the date of removal of the vial of cells from frozen storage for the production of a Batch.</w:t>
      </w:r>
    </w:p>
    <w:p>
      <w:pPr>
        <w:spacing w:after="0" w:line="62" w:lineRule="exact"/>
        <w:rPr>
          <w:sz w:val="20"/>
          <w:szCs w:val="20"/>
          <w:color w:val="auto"/>
        </w:rPr>
      </w:pPr>
    </w:p>
    <w:p>
      <w:pPr>
        <w:sectPr>
          <w:pgSz w:w="11900" w:h="16838" w:orient="portrait"/>
          <w:cols w:equalWidth="0" w:num="2">
            <w:col w:w="5340" w:space="720"/>
            <w:col w:w="5320"/>
          </w:cols>
          <w:pgMar w:left="240" w:top="881" w:right="279" w:bottom="1440" w:gutter="0" w:footer="0" w:header="0"/>
          <w:type w:val="continuous"/>
        </w:sectPr>
      </w:pPr>
    </w:p>
    <w:p>
      <w:pPr>
        <w:spacing w:after="0"/>
        <w:rPr>
          <w:sz w:val="20"/>
          <w:szCs w:val="20"/>
          <w:color w:val="auto"/>
        </w:rPr>
      </w:pPr>
      <w:r>
        <w:rPr>
          <w:rFonts w:ascii="Arial" w:cs="Arial" w:eastAsia="Arial" w:hAnsi="Arial"/>
          <w:sz w:val="17"/>
          <w:szCs w:val="17"/>
          <w:color w:val="auto"/>
        </w:rPr>
        <w:t>“Confidential Information”</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means Forty Seven Information and/or Lonza Information, as the context requires.</w:t>
      </w:r>
    </w:p>
    <w:p>
      <w:pPr>
        <w:spacing w:after="0" w:line="62" w:lineRule="exact"/>
        <w:rPr>
          <w:sz w:val="20"/>
          <w:szCs w:val="20"/>
          <w:color w:val="auto"/>
        </w:rPr>
      </w:pPr>
    </w:p>
    <w:p>
      <w:pPr>
        <w:sectPr>
          <w:pgSz w:w="11900" w:h="16838" w:orient="portrait"/>
          <w:cols w:equalWidth="0" w:num="2">
            <w:col w:w="5340" w:space="720"/>
            <w:col w:w="5320"/>
          </w:cols>
          <w:pgMar w:left="240" w:top="881" w:right="279" w:bottom="1440" w:gutter="0" w:footer="0" w:header="0"/>
          <w:type w:val="continuous"/>
        </w:sectPr>
      </w:pPr>
    </w:p>
    <w:p>
      <w:pPr>
        <w:spacing w:after="0"/>
        <w:rPr>
          <w:sz w:val="20"/>
          <w:szCs w:val="20"/>
          <w:color w:val="auto"/>
        </w:rPr>
      </w:pPr>
      <w:r>
        <w:rPr>
          <w:rFonts w:ascii="Arial" w:cs="Arial" w:eastAsia="Arial" w:hAnsi="Arial"/>
          <w:sz w:val="18"/>
          <w:szCs w:val="18"/>
          <w:color w:val="auto"/>
        </w:rPr>
        <w:t>“EMA”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European Medicines Agency, or any successor agency thereto.</w:t>
      </w:r>
    </w:p>
    <w:p>
      <w:pPr>
        <w:spacing w:after="0" w:line="151" w:lineRule="exact"/>
        <w:rPr>
          <w:sz w:val="20"/>
          <w:szCs w:val="20"/>
          <w:color w:val="auto"/>
        </w:rPr>
      </w:pPr>
    </w:p>
    <w:p>
      <w:pPr>
        <w:sectPr>
          <w:pgSz w:w="11900" w:h="16838" w:orient="portrait"/>
          <w:cols w:equalWidth="0" w:num="2">
            <w:col w:w="5340" w:space="720"/>
            <w:col w:w="5320"/>
          </w:cols>
          <w:pgMar w:left="240" w:top="881" w:right="279" w:bottom="1440" w:gutter="0" w:footer="0" w:header="0"/>
          <w:type w:val="continuous"/>
        </w:sectPr>
      </w:pPr>
    </w:p>
    <w:p>
      <w:pPr>
        <w:spacing w:after="0"/>
        <w:rPr>
          <w:sz w:val="20"/>
          <w:szCs w:val="20"/>
          <w:color w:val="auto"/>
        </w:rPr>
      </w:pPr>
      <w:r>
        <w:rPr>
          <w:rFonts w:ascii="Arial" w:cs="Arial" w:eastAsia="Arial" w:hAnsi="Arial"/>
          <w:sz w:val="17"/>
          <w:szCs w:val="17"/>
          <w:color w:val="auto"/>
        </w:rPr>
        <w:t>“External Laboratories”</w:t>
      </w:r>
    </w:p>
    <w:p>
      <w:pPr>
        <w:spacing w:after="0" w:line="20" w:lineRule="exact"/>
        <w:rPr>
          <w:sz w:val="20"/>
          <w:szCs w:val="20"/>
          <w:color w:val="auto"/>
        </w:rPr>
      </w:pPr>
      <w:r>
        <w:rPr>
          <w:sz w:val="20"/>
          <w:szCs w:val="20"/>
          <w:color w:val="auto"/>
        </w:rPr>
        <w:br w:type="column"/>
      </w:r>
    </w:p>
    <w:p>
      <w:pPr>
        <w:ind w:right="80"/>
        <w:spacing w:after="0" w:line="342" w:lineRule="auto"/>
        <w:rPr>
          <w:sz w:val="20"/>
          <w:szCs w:val="20"/>
          <w:color w:val="auto"/>
        </w:rPr>
      </w:pPr>
      <w:r>
        <w:rPr>
          <w:rFonts w:ascii="Arial" w:cs="Arial" w:eastAsia="Arial" w:hAnsi="Arial"/>
          <w:sz w:val="16"/>
          <w:szCs w:val="16"/>
          <w:color w:val="auto"/>
        </w:rPr>
        <w:t>means any Third Party instructed by Lonza, with Forty Seven’s prior consent, which is to conduct activities required to complete the Services.</w:t>
      </w:r>
    </w:p>
    <w:p>
      <w:pPr>
        <w:spacing w:after="0" w:line="16" w:lineRule="exact"/>
        <w:rPr>
          <w:sz w:val="20"/>
          <w:szCs w:val="20"/>
          <w:color w:val="auto"/>
        </w:rPr>
      </w:pPr>
    </w:p>
    <w:p>
      <w:pPr>
        <w:sectPr>
          <w:pgSz w:w="11900" w:h="16838" w:orient="portrait"/>
          <w:cols w:equalWidth="0" w:num="2">
            <w:col w:w="5340" w:space="720"/>
            <w:col w:w="5320"/>
          </w:cols>
          <w:pgMar w:left="240" w:top="881" w:right="279" w:bottom="1440" w:gutter="0" w:footer="0" w:header="0"/>
          <w:type w:val="continuous"/>
        </w:sectPr>
      </w:pPr>
    </w:p>
    <w:p>
      <w:pPr>
        <w:spacing w:after="0"/>
        <w:rPr>
          <w:sz w:val="20"/>
          <w:szCs w:val="20"/>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Lonza’s manufacturing facility at Slough, United Kingdom.</w:t>
      </w:r>
    </w:p>
    <w:p>
      <w:pPr>
        <w:spacing w:after="0" w:line="139" w:lineRule="exact"/>
        <w:rPr>
          <w:sz w:val="20"/>
          <w:szCs w:val="20"/>
          <w:color w:val="auto"/>
        </w:rPr>
      </w:pPr>
    </w:p>
    <w:p>
      <w:pPr>
        <w:sectPr>
          <w:pgSz w:w="11900" w:h="16838" w:orient="portrait"/>
          <w:cols w:equalWidth="0" w:num="2">
            <w:col w:w="5340" w:space="720"/>
            <w:col w:w="5320"/>
          </w:cols>
          <w:pgMar w:left="240" w:top="881" w:right="279" w:bottom="1440" w:gutter="0" w:footer="0" w:header="0"/>
          <w:type w:val="continuous"/>
        </w:sectPr>
      </w:pPr>
    </w:p>
    <w:p>
      <w:pPr>
        <w:spacing w:after="0"/>
        <w:rPr>
          <w:sz w:val="20"/>
          <w:szCs w:val="20"/>
          <w:color w:val="auto"/>
        </w:rPr>
      </w:pPr>
      <w:r>
        <w:rPr>
          <w:rFonts w:ascii="Arial" w:cs="Arial" w:eastAsia="Arial" w:hAnsi="Arial"/>
          <w:sz w:val="18"/>
          <w:szCs w:val="18"/>
          <w:color w:val="auto"/>
        </w:rPr>
        <w:t>“FDA”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United States Food and Drug Administration, or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agency thereto.</w:t>
      </w:r>
    </w:p>
    <w:p>
      <w:pPr>
        <w:spacing w:after="0" w:line="103" w:lineRule="exact"/>
        <w:rPr>
          <w:sz w:val="20"/>
          <w:szCs w:val="20"/>
          <w:color w:val="auto"/>
        </w:rPr>
      </w:pPr>
    </w:p>
    <w:p>
      <w:pPr>
        <w:sectPr>
          <w:pgSz w:w="11900" w:h="16838" w:orient="portrait"/>
          <w:cols w:equalWidth="0" w:num="2">
            <w:col w:w="5340" w:space="720"/>
            <w:col w:w="5320"/>
          </w:cols>
          <w:pgMar w:left="240" w:top="881" w:right="279" w:bottom="1440" w:gutter="0" w:footer="0" w:header="0"/>
          <w:type w:val="continuous"/>
        </w:sectPr>
      </w:pPr>
    </w:p>
    <w:p>
      <w:pPr>
        <w:spacing w:after="0"/>
        <w:rPr>
          <w:sz w:val="20"/>
          <w:szCs w:val="20"/>
          <w:color w:val="auto"/>
        </w:rPr>
      </w:pPr>
      <w:r>
        <w:rPr>
          <w:rFonts w:ascii="Arial" w:cs="Arial" w:eastAsia="Arial" w:hAnsi="Arial"/>
          <w:sz w:val="17"/>
          <w:szCs w:val="17"/>
          <w:color w:val="auto"/>
        </w:rPr>
        <w:t>“Forty Seven Information”</w:t>
      </w:r>
    </w:p>
    <w:p>
      <w:pPr>
        <w:spacing w:after="0" w:line="20" w:lineRule="exact"/>
        <w:rPr>
          <w:sz w:val="20"/>
          <w:szCs w:val="20"/>
          <w:color w:val="auto"/>
        </w:rPr>
      </w:pPr>
      <w:r>
        <w:rPr>
          <w:sz w:val="20"/>
          <w:szCs w:val="20"/>
          <w:color w:val="auto"/>
        </w:rPr>
        <w:br w:type="column"/>
      </w:r>
    </w:p>
    <w:p>
      <w:pPr>
        <w:ind w:right="20"/>
        <w:spacing w:after="0" w:line="293" w:lineRule="auto"/>
        <w:rPr>
          <w:sz w:val="20"/>
          <w:szCs w:val="20"/>
          <w:color w:val="auto"/>
        </w:rPr>
      </w:pPr>
      <w:r>
        <w:rPr>
          <w:rFonts w:ascii="Arial" w:cs="Arial" w:eastAsia="Arial" w:hAnsi="Arial"/>
          <w:sz w:val="16"/>
          <w:szCs w:val="16"/>
          <w:color w:val="auto"/>
        </w:rPr>
        <w:t>means all technical and other information (i) from time to time supplied by Forty Seven to Lonza under this Agreement which, at the time of disclosure by Forty Seven, was not known to Lonza or in the public domain or (ii) which was owned by Forty Seven pursuant to the Prior MSA and/or is specific to the Cell Line or Product, or any other materials or information supplied by Forty Seven to Lonza under this Agreement.</w:t>
      </w:r>
    </w:p>
    <w:p>
      <w:pPr>
        <w:spacing w:after="0" w:line="57" w:lineRule="exact"/>
        <w:rPr>
          <w:sz w:val="20"/>
          <w:szCs w:val="20"/>
          <w:color w:val="auto"/>
        </w:rPr>
      </w:pPr>
    </w:p>
    <w:p>
      <w:pPr>
        <w:sectPr>
          <w:pgSz w:w="11900" w:h="16838" w:orient="portrait"/>
          <w:cols w:equalWidth="0" w:num="2">
            <w:col w:w="5340" w:space="720"/>
            <w:col w:w="5320"/>
          </w:cols>
          <w:pgMar w:left="240" w:top="881" w:right="279" w:bottom="1440" w:gutter="0" w:footer="0" w:header="0"/>
          <w:type w:val="continuous"/>
        </w:sectPr>
      </w:pPr>
    </w:p>
    <w:p>
      <w:pPr>
        <w:spacing w:after="0"/>
        <w:rPr>
          <w:sz w:val="20"/>
          <w:szCs w:val="20"/>
          <w:color w:val="auto"/>
        </w:rPr>
      </w:pPr>
      <w:r>
        <w:rPr>
          <w:rFonts w:ascii="Arial" w:cs="Arial" w:eastAsia="Arial" w:hAnsi="Arial"/>
          <w:sz w:val="16"/>
          <w:szCs w:val="16"/>
          <w:color w:val="auto"/>
        </w:rPr>
        <w:t>“Forty Seven Materials”</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means any components of Product, or other materials of any nature as may be provided by Forty Seven to Lonza under this Agreement; provided that the Cell Line will be subject always to the terms of the GS Licence.</w:t>
      </w:r>
    </w:p>
    <w:p>
      <w:pPr>
        <w:spacing w:after="0" w:line="79" w:lineRule="exact"/>
        <w:rPr>
          <w:sz w:val="20"/>
          <w:szCs w:val="20"/>
          <w:color w:val="auto"/>
        </w:rPr>
      </w:pPr>
    </w:p>
    <w:p>
      <w:pPr>
        <w:sectPr>
          <w:pgSz w:w="11900" w:h="16838" w:orient="portrait"/>
          <w:cols w:equalWidth="0" w:num="2">
            <w:col w:w="5340" w:space="720"/>
            <w:col w:w="5320"/>
          </w:cols>
          <w:pgMar w:left="240" w:top="881" w:right="279" w:bottom="1440" w:gutter="0" w:footer="0" w:header="0"/>
          <w:type w:val="continuous"/>
        </w:sectPr>
      </w:pPr>
    </w:p>
    <w:p>
      <w:pPr>
        <w:spacing w:after="0"/>
        <w:rPr>
          <w:sz w:val="20"/>
          <w:szCs w:val="20"/>
          <w:color w:val="auto"/>
        </w:rPr>
      </w:pPr>
      <w:r>
        <w:rPr>
          <w:rFonts w:ascii="Arial" w:cs="Arial" w:eastAsia="Arial" w:hAnsi="Arial"/>
          <w:sz w:val="17"/>
          <w:szCs w:val="17"/>
          <w:color w:val="auto"/>
        </w:rPr>
        <w:t>“Governmental Authority”</w:t>
      </w:r>
    </w:p>
    <w:p>
      <w:pPr>
        <w:spacing w:after="0" w:line="20" w:lineRule="exact"/>
        <w:rPr>
          <w:sz w:val="20"/>
          <w:szCs w:val="20"/>
          <w:color w:val="auto"/>
        </w:rPr>
      </w:pPr>
      <w:r>
        <w:rPr>
          <w:sz w:val="20"/>
          <w:szCs w:val="20"/>
          <w:color w:val="auto"/>
        </w:rPr>
        <w:br w:type="column"/>
      </w:r>
    </w:p>
    <w:p>
      <w:pPr>
        <w:ind w:right="260"/>
        <w:spacing w:after="0" w:line="286" w:lineRule="auto"/>
        <w:rPr>
          <w:sz w:val="20"/>
          <w:szCs w:val="20"/>
          <w:color w:val="auto"/>
        </w:rPr>
      </w:pPr>
      <w:r>
        <w:rPr>
          <w:rFonts w:ascii="Arial" w:cs="Arial" w:eastAsia="Arial" w:hAnsi="Arial"/>
          <w:sz w:val="17"/>
          <w:szCs w:val="17"/>
          <w:color w:val="auto"/>
        </w:rPr>
        <w:t>means any Regulatory Authority and any national, multi-national, regional, state or local regulatory agency, department, bureau, or other governmental entity in the U.S., U.K. or European Union.</w:t>
      </w:r>
    </w:p>
    <w:p>
      <w:pPr>
        <w:spacing w:after="0" w:line="57" w:lineRule="exact"/>
        <w:rPr>
          <w:sz w:val="20"/>
          <w:szCs w:val="20"/>
          <w:color w:val="auto"/>
        </w:rPr>
      </w:pPr>
    </w:p>
    <w:p>
      <w:pPr>
        <w:sectPr>
          <w:pgSz w:w="11900" w:h="16838" w:orient="portrait"/>
          <w:cols w:equalWidth="0" w:num="2">
            <w:col w:w="5340" w:space="720"/>
            <w:col w:w="5320"/>
          </w:cols>
          <w:pgMar w:left="240" w:top="881" w:right="279" w:bottom="1440" w:gutter="0" w:footer="0" w:header="0"/>
          <w:type w:val="continuous"/>
        </w:sectPr>
      </w:pPr>
    </w:p>
    <w:p>
      <w:pPr>
        <w:spacing w:after="0"/>
        <w:rPr>
          <w:sz w:val="20"/>
          <w:szCs w:val="20"/>
          <w:color w:val="auto"/>
        </w:rPr>
      </w:pPr>
      <w:r>
        <w:rPr>
          <w:rFonts w:ascii="Arial" w:cs="Arial" w:eastAsia="Arial" w:hAnsi="Arial"/>
          <w:sz w:val="17"/>
          <w:szCs w:val="17"/>
          <w:color w:val="auto"/>
        </w:rPr>
        <w:t>“GS Licence”</w:t>
      </w:r>
    </w:p>
    <w:p>
      <w:pPr>
        <w:spacing w:after="0" w:line="20" w:lineRule="exact"/>
        <w:rPr>
          <w:sz w:val="20"/>
          <w:szCs w:val="20"/>
          <w:color w:val="auto"/>
        </w:rPr>
      </w:pPr>
      <w:r>
        <w:rPr>
          <w:sz w:val="20"/>
          <w:szCs w:val="20"/>
          <w:color w:val="auto"/>
        </w:rPr>
        <w:br w:type="column"/>
      </w:r>
    </w:p>
    <w:p>
      <w:pPr>
        <w:ind w:right="100"/>
        <w:spacing w:after="0" w:line="286" w:lineRule="auto"/>
        <w:rPr>
          <w:sz w:val="20"/>
          <w:szCs w:val="20"/>
          <w:color w:val="auto"/>
        </w:rPr>
      </w:pPr>
      <w:r>
        <w:rPr>
          <w:rFonts w:ascii="Arial" w:cs="Arial" w:eastAsia="Arial" w:hAnsi="Arial"/>
          <w:sz w:val="17"/>
          <w:szCs w:val="17"/>
          <w:color w:val="auto"/>
        </w:rPr>
        <w:t>means the licence agreement between the Parties dated 24 May 2016 for the use of Lonza’s proprietary glutamine synthetase gene expression system, as amended by the Parties from time to time.</w:t>
      </w:r>
    </w:p>
    <w:p>
      <w:pPr>
        <w:spacing w:after="0" w:line="57" w:lineRule="exact"/>
        <w:rPr>
          <w:sz w:val="20"/>
          <w:szCs w:val="20"/>
          <w:color w:val="auto"/>
        </w:rPr>
      </w:pPr>
    </w:p>
    <w:p>
      <w:pPr>
        <w:sectPr>
          <w:pgSz w:w="11900" w:h="16838" w:orient="portrait"/>
          <w:cols w:equalWidth="0" w:num="2">
            <w:col w:w="5340" w:space="720"/>
            <w:col w:w="5320"/>
          </w:cols>
          <w:pgMar w:left="240" w:top="881" w:right="279" w:bottom="1440" w:gutter="0" w:footer="0" w:header="0"/>
          <w:type w:val="continuous"/>
        </w:sectPr>
      </w:pPr>
    </w:p>
    <w:p>
      <w:pPr>
        <w:spacing w:after="0"/>
        <w:rPr>
          <w:sz w:val="20"/>
          <w:szCs w:val="20"/>
          <w:color w:val="auto"/>
        </w:rPr>
      </w:pPr>
      <w:r>
        <w:rPr>
          <w:rFonts w:ascii="Arial" w:cs="Arial" w:eastAsia="Arial" w:hAnsi="Arial"/>
          <w:sz w:val="17"/>
          <w:szCs w:val="17"/>
          <w:color w:val="auto"/>
        </w:rPr>
        <w:t>“Intellectual Property”</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means (i) inventions (whether or not patentable), patents, trade secrets, copyrights, trademarks, trade names and domain names, rights in designs, rights in computer software, database rights, rights in confidential information</w:t>
      </w:r>
    </w:p>
    <w:p>
      <w:pPr>
        <w:spacing w:after="0" w:line="119" w:lineRule="exact"/>
        <w:rPr>
          <w:sz w:val="20"/>
          <w:szCs w:val="20"/>
          <w:color w:val="auto"/>
        </w:rPr>
      </w:pPr>
    </w:p>
    <w:p>
      <w:pPr>
        <w:sectPr>
          <w:pgSz w:w="11900" w:h="16838" w:orient="portrait"/>
          <w:cols w:equalWidth="0" w:num="2">
            <w:col w:w="5340" w:space="720"/>
            <w:col w:w="5320"/>
          </w:cols>
          <w:pgMar w:left="240" w:top="881" w:right="279" w:bottom="1440" w:gutter="0" w:footer="0" w:header="0"/>
          <w:type w:val="continuous"/>
        </w:sectPr>
      </w:pPr>
    </w:p>
    <w:p>
      <w:pPr>
        <w:ind w:right="700" w:firstLine="8"/>
        <w:spacing w:after="0" w:line="277" w:lineRule="auto"/>
        <w:tabs>
          <w:tab w:leader="none" w:pos="25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881" w:right="279" w:bottom="1440" w:gutter="0" w:footer="0" w:header="0"/>
          <w:type w:val="continuous"/>
        </w:sectPr>
      </w:pPr>
    </w:p>
    <w:bookmarkStart w:id="409" w:name="page410"/>
    <w:bookmarkEnd w:id="4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2">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(including know-how) and any other intellectual property rights, in each</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case whether registered or unregistered, (ii) all applications (or rights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apply) for, and renewals or extensions of, any of the rights described in</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foregoing sub-clause (i) and (ii) and all rights and applications that are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similar or equivalent to the rights and application described in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foregoing sub-clauses (i) and (ii), which exist now, or which come to exist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the future, in any part of the world.</w:t>
      </w:r>
    </w:p>
    <w:p>
      <w:pPr>
        <w:sectPr>
          <w:pgSz w:w="11900" w:h="16838" w:orient="portrait"/>
          <w:cols w:equalWidth="0" w:num="1">
            <w:col w:w="11400"/>
          </w:cols>
          <w:pgMar w:left="240" w:top="882" w:right="25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“Lonza Information”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means all information that is proprietary to Lonza or any Affiliate of Lonza and that is maintained in confidence by Lonza or any Affiliate of Lonza and that is disclosed by Lonza or any Affiliate of Lonza to Forty Seven under or in connection with this Agreement, including without limitation, any and all Lonza know-how and trade secrets, but excluding any Forty Seven Information.</w:t>
      </w:r>
    </w:p>
    <w:p>
      <w:pPr>
        <w:spacing w:after="0" w:line="70" w:lineRule="exact"/>
        <w:rPr>
          <w:sz w:val="20"/>
          <w:szCs w:val="20"/>
          <w:color w:val="auto"/>
        </w:rPr>
      </w:pPr>
    </w:p>
    <w:p>
      <w:pPr>
        <w:sectPr>
          <w:pgSz w:w="11900" w:h="16838" w:orient="portrait"/>
          <w:cols w:equalWidth="0" w:num="2">
            <w:col w:w="5340" w:space="720"/>
            <w:col w:w="5340"/>
          </w:cols>
          <w:pgMar w:left="240" w:top="882"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“Manufacturing Process”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Lonza’s production process for the manufacture of Product.</w:t>
      </w:r>
    </w:p>
    <w:p>
      <w:pPr>
        <w:spacing w:after="0" w:line="140" w:lineRule="exact"/>
        <w:rPr>
          <w:sz w:val="20"/>
          <w:szCs w:val="20"/>
          <w:color w:val="auto"/>
        </w:rPr>
      </w:pPr>
    </w:p>
    <w:p>
      <w:pPr>
        <w:sectPr>
          <w:pgSz w:w="11900" w:h="16838" w:orient="portrait"/>
          <w:cols w:equalWidth="0" w:num="2">
            <w:col w:w="5340" w:space="720"/>
            <w:col w:w="5340"/>
          </w:cols>
          <w:pgMar w:left="240" w:top="882"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“Master Batch Record”</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means the document, proposed by Lonza and approved by Forty Seven, which defines the manufacturing methods, test methods and other procedures, directions and controls associated with the manufacture and testing of Product.</w:t>
      </w:r>
    </w:p>
    <w:p>
      <w:pPr>
        <w:spacing w:after="0" w:line="79" w:lineRule="exact"/>
        <w:rPr>
          <w:sz w:val="20"/>
          <w:szCs w:val="20"/>
          <w:color w:val="auto"/>
        </w:rPr>
      </w:pPr>
    </w:p>
    <w:p>
      <w:pPr>
        <w:sectPr>
          <w:pgSz w:w="11900" w:h="16838" w:orient="portrait"/>
          <w:cols w:equalWidth="0" w:num="2">
            <w:col w:w="5340" w:space="720"/>
            <w:col w:w="5340"/>
          </w:cols>
          <w:pgMar w:left="240" w:top="882" w:right="259" w:bottom="1440" w:gutter="0" w:footer="0" w:header="0"/>
          <w:type w:val="continuous"/>
        </w:sectPr>
      </w:pPr>
    </w:p>
    <w:p>
      <w:pPr>
        <w:spacing w:after="0"/>
        <w:rPr>
          <w:sz w:val="20"/>
          <w:szCs w:val="20"/>
          <w:color w:val="auto"/>
        </w:rPr>
      </w:pPr>
      <w:r>
        <w:rPr>
          <w:rFonts w:ascii="Arial" w:cs="Arial" w:eastAsia="Arial" w:hAnsi="Arial"/>
          <w:sz w:val="18"/>
          <w:szCs w:val="18"/>
          <w:color w:val="auto"/>
        </w:rPr>
        <w:t>“MHRA”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Medicines and Healthcare products Regulatory Agency, or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successor agency thereto.</w:t>
      </w:r>
    </w:p>
    <w:p>
      <w:pPr>
        <w:spacing w:after="0" w:line="103" w:lineRule="exact"/>
        <w:rPr>
          <w:sz w:val="20"/>
          <w:szCs w:val="20"/>
          <w:color w:val="auto"/>
        </w:rPr>
      </w:pPr>
    </w:p>
    <w:p>
      <w:pPr>
        <w:sectPr>
          <w:pgSz w:w="11900" w:h="16838" w:orient="portrait"/>
          <w:cols w:equalWidth="0" w:num="2">
            <w:col w:w="5340" w:space="720"/>
            <w:col w:w="5340"/>
          </w:cols>
          <w:pgMar w:left="240" w:top="882"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“New Forty Seven Intellectual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Clause 10.2.</w:t>
      </w:r>
    </w:p>
    <w:p>
      <w:pPr>
        <w:spacing w:after="0" w:line="140" w:lineRule="exact"/>
        <w:rPr>
          <w:sz w:val="20"/>
          <w:szCs w:val="20"/>
          <w:color w:val="auto"/>
        </w:rPr>
      </w:pPr>
    </w:p>
    <w:p>
      <w:pPr>
        <w:sectPr>
          <w:pgSz w:w="11900" w:h="16838" w:orient="portrait"/>
          <w:cols w:equalWidth="0" w:num="2">
            <w:col w:w="5340" w:space="720"/>
            <w:col w:w="5340"/>
          </w:cols>
          <w:pgMar w:left="240" w:top="882" w:right="259" w:bottom="1440" w:gutter="0" w:footer="0" w:header="0"/>
          <w:type w:val="continuous"/>
        </w:sectPr>
      </w:pPr>
    </w:p>
    <w:p>
      <w:pPr>
        <w:spacing w:after="0"/>
        <w:rPr>
          <w:sz w:val="20"/>
          <w:szCs w:val="20"/>
          <w:color w:val="auto"/>
        </w:rPr>
      </w:pPr>
      <w:r>
        <w:rPr>
          <w:rFonts w:ascii="Arial" w:cs="Arial" w:eastAsia="Arial" w:hAnsi="Arial"/>
          <w:sz w:val="17"/>
          <w:szCs w:val="17"/>
          <w:color w:val="auto"/>
        </w:rPr>
        <w:t>“New General Application Intellectual Property”</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6"/>
          <w:szCs w:val="16"/>
          <w:color w:val="auto"/>
        </w:rPr>
        <w:t>has the meaning given in Clause 10.3.</w:t>
      </w:r>
    </w:p>
    <w:p>
      <w:pPr>
        <w:spacing w:after="0" w:line="140" w:lineRule="exact"/>
        <w:rPr>
          <w:sz w:val="20"/>
          <w:szCs w:val="20"/>
          <w:color w:val="auto"/>
        </w:rPr>
      </w:pPr>
    </w:p>
    <w:p>
      <w:pPr>
        <w:sectPr>
          <w:pgSz w:w="11900" w:h="16838" w:orient="portrait"/>
          <w:cols w:equalWidth="0" w:num="2">
            <w:col w:w="5340" w:space="720"/>
            <w:col w:w="5340"/>
          </w:cols>
          <w:pgMar w:left="240" w:top="882" w:right="259" w:bottom="1440" w:gutter="0" w:footer="0" w:header="0"/>
          <w:type w:val="continuous"/>
        </w:sectPr>
      </w:pPr>
    </w:p>
    <w:p>
      <w:pPr>
        <w:spacing w:after="0"/>
        <w:rPr>
          <w:sz w:val="20"/>
          <w:szCs w:val="20"/>
          <w:color w:val="auto"/>
        </w:rPr>
      </w:pPr>
      <w:r>
        <w:rPr>
          <w:rFonts w:ascii="Arial" w:cs="Arial" w:eastAsia="Arial" w:hAnsi="Arial"/>
          <w:sz w:val="18"/>
          <w:szCs w:val="18"/>
          <w:color w:val="auto"/>
        </w:rPr>
        <w:t>“Party”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each of Lonza and Forty Seven and, together, the “Parties”.</w:t>
      </w:r>
    </w:p>
    <w:p>
      <w:pPr>
        <w:spacing w:after="0" w:line="139" w:lineRule="exact"/>
        <w:rPr>
          <w:sz w:val="20"/>
          <w:szCs w:val="20"/>
          <w:color w:val="auto"/>
        </w:rPr>
      </w:pPr>
    </w:p>
    <w:p>
      <w:pPr>
        <w:sectPr>
          <w:pgSz w:w="11900" w:h="16838" w:orient="portrait"/>
          <w:cols w:equalWidth="0" w:num="2">
            <w:col w:w="5340" w:space="720"/>
            <w:col w:w="5340"/>
          </w:cols>
          <w:pgMar w:left="240" w:top="882" w:right="259" w:bottom="1440" w:gutter="0" w:footer="0" w:header="0"/>
          <w:type w:val="continuous"/>
        </w:sectPr>
      </w:pPr>
    </w:p>
    <w:p>
      <w:pPr>
        <w:spacing w:after="0"/>
        <w:rPr>
          <w:sz w:val="20"/>
          <w:szCs w:val="20"/>
          <w:color w:val="auto"/>
        </w:rPr>
      </w:pPr>
      <w:r>
        <w:rPr>
          <w:rFonts w:ascii="Arial" w:cs="Arial" w:eastAsia="Arial" w:hAnsi="Arial"/>
          <w:sz w:val="18"/>
          <w:szCs w:val="18"/>
          <w:color w:val="auto"/>
        </w:rPr>
        <w:t>“Price”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price for the Services and Products as set out in part I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Appendix B.</w:t>
      </w:r>
    </w:p>
    <w:p>
      <w:pPr>
        <w:spacing w:after="0" w:line="103" w:lineRule="exact"/>
        <w:rPr>
          <w:sz w:val="20"/>
          <w:szCs w:val="20"/>
          <w:color w:val="auto"/>
        </w:rPr>
      </w:pPr>
    </w:p>
    <w:p>
      <w:pPr>
        <w:sectPr>
          <w:pgSz w:w="11900" w:h="16838" w:orient="portrait"/>
          <w:cols w:equalWidth="0" w:num="2">
            <w:col w:w="5340" w:space="720"/>
            <w:col w:w="5340"/>
          </w:cols>
          <w:pgMar w:left="240" w:top="882" w:right="259" w:bottom="1440" w:gutter="0" w:footer="0" w:header="0"/>
          <w:type w:val="continuous"/>
        </w:sectPr>
      </w:pPr>
    </w:p>
    <w:p>
      <w:pPr>
        <w:spacing w:after="0"/>
        <w:rPr>
          <w:sz w:val="20"/>
          <w:szCs w:val="20"/>
          <w:color w:val="auto"/>
        </w:rPr>
      </w:pPr>
      <w:r>
        <w:rPr>
          <w:rFonts w:ascii="Arial" w:cs="Arial" w:eastAsia="Arial" w:hAnsi="Arial"/>
          <w:sz w:val="18"/>
          <w:szCs w:val="18"/>
          <w:color w:val="auto"/>
        </w:rPr>
        <w:t>“Prior MSA”</w:t>
      </w:r>
    </w:p>
    <w:p>
      <w:pPr>
        <w:spacing w:after="0" w:line="20" w:lineRule="exact"/>
        <w:rPr>
          <w:sz w:val="20"/>
          <w:szCs w:val="20"/>
          <w:color w:val="auto"/>
        </w:rPr>
      </w:pPr>
      <w:r>
        <w:rPr>
          <w:sz w:val="20"/>
          <w:szCs w:val="20"/>
          <w:color w:val="auto"/>
        </w:rPr>
        <w:br w:type="column"/>
      </w:r>
    </w:p>
    <w:p>
      <w:pPr>
        <w:ind w:right="100"/>
        <w:spacing w:after="0" w:line="340" w:lineRule="auto"/>
        <w:rPr>
          <w:sz w:val="20"/>
          <w:szCs w:val="20"/>
          <w:color w:val="auto"/>
        </w:rPr>
      </w:pPr>
      <w:r>
        <w:rPr>
          <w:rFonts w:ascii="Arial" w:cs="Arial" w:eastAsia="Arial" w:hAnsi="Arial"/>
          <w:sz w:val="15"/>
          <w:szCs w:val="15"/>
          <w:color w:val="auto"/>
        </w:rPr>
        <w:t>means the sub-award agreement dated 25 August 2010, as novated and amended by the novation and amendment agreement between the Parties dated 01 March 2016 and as amended by the Parties from time to time.</w:t>
      </w:r>
    </w:p>
    <w:p>
      <w:pPr>
        <w:spacing w:after="0" w:line="23" w:lineRule="exact"/>
        <w:rPr>
          <w:sz w:val="20"/>
          <w:szCs w:val="20"/>
          <w:color w:val="auto"/>
        </w:rPr>
      </w:pPr>
    </w:p>
    <w:p>
      <w:pPr>
        <w:sectPr>
          <w:pgSz w:w="11900" w:h="16838" w:orient="portrait"/>
          <w:cols w:equalWidth="0" w:num="2">
            <w:col w:w="5340" w:space="720"/>
            <w:col w:w="5340"/>
          </w:cols>
          <w:pgMar w:left="240" w:top="882" w:right="259" w:bottom="1440" w:gutter="0" w:footer="0" w:header="0"/>
          <w:type w:val="continuous"/>
        </w:sectPr>
      </w:pPr>
    </w:p>
    <w:p>
      <w:pPr>
        <w:spacing w:after="0"/>
        <w:rPr>
          <w:sz w:val="20"/>
          <w:szCs w:val="20"/>
          <w:color w:val="auto"/>
        </w:rPr>
      </w:pPr>
      <w:r>
        <w:rPr>
          <w:rFonts w:ascii="Arial" w:cs="Arial" w:eastAsia="Arial" w:hAnsi="Arial"/>
          <w:sz w:val="17"/>
          <w:szCs w:val="17"/>
          <w:color w:val="auto"/>
        </w:rPr>
        <w:t>“Product(s)”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CD47 Product and/or the Alternate Product(s) to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manufactured by Lonza under this Agreement.</w:t>
      </w:r>
    </w:p>
    <w:p>
      <w:pPr>
        <w:spacing w:after="0" w:line="143" w:lineRule="exact"/>
        <w:rPr>
          <w:sz w:val="20"/>
          <w:szCs w:val="20"/>
          <w:color w:val="auto"/>
        </w:rPr>
      </w:pPr>
    </w:p>
    <w:p>
      <w:pPr>
        <w:sectPr>
          <w:pgSz w:w="11900" w:h="16838" w:orient="portrait"/>
          <w:cols w:equalWidth="0" w:num="2">
            <w:col w:w="5340" w:space="720"/>
            <w:col w:w="5340"/>
          </w:cols>
          <w:pgMar w:left="240" w:top="882" w:right="259" w:bottom="1440" w:gutter="0" w:footer="0" w:header="0"/>
          <w:type w:val="continuous"/>
        </w:sectPr>
      </w:pPr>
    </w:p>
    <w:p>
      <w:pPr>
        <w:ind w:right="720" w:firstLine="8"/>
        <w:spacing w:after="0" w:line="277" w:lineRule="auto"/>
        <w:tabs>
          <w:tab w:leader="none" w:pos="25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82" w:right="259" w:bottom="1440" w:gutter="0" w:footer="0" w:header="0"/>
          <w:type w:val="continuous"/>
        </w:sectPr>
      </w:pPr>
    </w:p>
    <w:bookmarkStart w:id="410" w:name="page411"/>
    <w:bookmarkEnd w:id="4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4">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ectPr>
          <w:pgSz w:w="11900" w:h="16838" w:orient="portrait"/>
          <w:cols w:equalWidth="0" w:num="1">
            <w:col w:w="11420"/>
          </w:cols>
          <w:pgMar w:left="240" w:top="881" w:right="239" w:bottom="1440" w:gutter="0" w:footer="0" w:header="0"/>
        </w:sect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“Project Plan”</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means the plan(s) describing the Services to be performed by Lonza under this Agreement, including any update and amendment of the Project Plan to which the Parties may agree from time to time. The initial Project Plan is attached hereto as Appendix A.</w:t>
      </w:r>
    </w:p>
    <w:p>
      <w:pPr>
        <w:spacing w:after="0" w:line="6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“Quality Agreement”</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8"/>
          <w:szCs w:val="18"/>
          <w:color w:val="auto"/>
        </w:rPr>
        <w:t>means the quality agreement, attached hereto as Appendix C, setting out the responsibilities of the Parties in relation to quality as required for compliance with cGMP.</w:t>
      </w:r>
    </w:p>
    <w:p>
      <w:pPr>
        <w:spacing w:after="0" w:line="7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“Raw Materials”</w:t>
      </w:r>
    </w:p>
    <w:p>
      <w:pPr>
        <w:spacing w:after="0" w:line="20" w:lineRule="exact"/>
        <w:rPr>
          <w:sz w:val="20"/>
          <w:szCs w:val="20"/>
          <w:color w:val="auto"/>
        </w:rPr>
      </w:pPr>
      <w:r>
        <w:rPr>
          <w:sz w:val="20"/>
          <w:szCs w:val="20"/>
          <w:color w:val="auto"/>
        </w:rPr>
        <w:br w:type="column"/>
      </w:r>
    </w:p>
    <w:p>
      <w:pPr>
        <w:ind w:right="40"/>
        <w:spacing w:after="0" w:line="264" w:lineRule="auto"/>
        <w:rPr>
          <w:sz w:val="20"/>
          <w:szCs w:val="20"/>
          <w:color w:val="auto"/>
        </w:rPr>
      </w:pPr>
      <w:r>
        <w:rPr>
          <w:rFonts w:ascii="Arial" w:cs="Arial" w:eastAsia="Arial" w:hAnsi="Arial"/>
          <w:sz w:val="18"/>
          <w:szCs w:val="18"/>
          <w:color w:val="auto"/>
        </w:rPr>
        <w:t>means all ingredients, solvents and other components of the Product required to perform the Manufacturing Process or Services set forth in the bill of materials detailing the same [*].</w:t>
      </w:r>
    </w:p>
    <w:p>
      <w:pPr>
        <w:spacing w:after="0" w:line="7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6"/>
          <w:szCs w:val="16"/>
          <w:color w:val="auto"/>
        </w:rPr>
        <w:t>“Raw Materials Fee”</w:t>
      </w:r>
    </w:p>
    <w:p>
      <w:pPr>
        <w:spacing w:after="0" w:line="20" w:lineRule="exact"/>
        <w:rPr>
          <w:sz w:val="20"/>
          <w:szCs w:val="20"/>
          <w:color w:val="auto"/>
        </w:rPr>
      </w:pPr>
      <w:r>
        <w:rPr>
          <w:sz w:val="20"/>
          <w:szCs w:val="20"/>
          <w:color w:val="auto"/>
        </w:rPr>
        <w:br w:type="column"/>
      </w:r>
    </w:p>
    <w:p>
      <w:pPr>
        <w:ind w:right="80"/>
        <w:spacing w:after="0" w:line="279" w:lineRule="auto"/>
        <w:rPr>
          <w:sz w:val="20"/>
          <w:szCs w:val="20"/>
          <w:color w:val="auto"/>
        </w:rPr>
      </w:pPr>
      <w:r>
        <w:rPr>
          <w:rFonts w:ascii="Arial" w:cs="Arial" w:eastAsia="Arial" w:hAnsi="Arial"/>
          <w:sz w:val="17"/>
          <w:szCs w:val="17"/>
          <w:color w:val="auto"/>
        </w:rPr>
        <w:t>means the procurement and handling fee of [*] of the amount incurred by Lonza to be paid to a Third Party (“Lonza’s Cost”) for the acquisition of Raw Materials (other than Resins) that is charged to Forty Seven in addition to Lonza’s Cost of such Raw Materials.</w:t>
      </w:r>
    </w:p>
    <w:p>
      <w:pPr>
        <w:spacing w:after="0" w:line="6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“Regulatory Approval”</w:t>
      </w:r>
    </w:p>
    <w:p>
      <w:pPr>
        <w:spacing w:after="0" w:line="20" w:lineRule="exact"/>
        <w:rPr>
          <w:sz w:val="20"/>
          <w:szCs w:val="20"/>
          <w:color w:val="auto"/>
        </w:rPr>
      </w:pPr>
      <w:r>
        <w:rPr>
          <w:sz w:val="20"/>
          <w:szCs w:val="20"/>
          <w:color w:val="auto"/>
        </w:rPr>
        <w:br w:type="column"/>
      </w:r>
    </w:p>
    <w:p>
      <w:pPr>
        <w:jc w:val="both"/>
        <w:ind w:right="180"/>
        <w:spacing w:after="0" w:line="264" w:lineRule="auto"/>
        <w:rPr>
          <w:sz w:val="20"/>
          <w:szCs w:val="20"/>
          <w:color w:val="auto"/>
        </w:rPr>
      </w:pPr>
      <w:r>
        <w:rPr>
          <w:rFonts w:ascii="Arial" w:cs="Arial" w:eastAsia="Arial" w:hAnsi="Arial"/>
          <w:sz w:val="18"/>
          <w:szCs w:val="18"/>
          <w:color w:val="auto"/>
        </w:rPr>
        <w:t>means, with respect to a Product, all approvals, licenses, registrations or authorizations necessary for the commercialization of such Product in a particular jurisdiction.</w:t>
      </w:r>
    </w:p>
    <w:p>
      <w:pPr>
        <w:spacing w:after="0" w:line="7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“Regulatory Authority”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FDA, MHRA, EMA and any other similar regulatory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authorities as may be agreed upon in writing by the Parties.</w:t>
      </w:r>
    </w:p>
    <w:p>
      <w:pPr>
        <w:spacing w:after="0" w:line="114"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Clause 7.1</w:t>
      </w:r>
    </w:p>
    <w:p>
      <w:pPr>
        <w:spacing w:after="0" w:line="140"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8"/>
          <w:szCs w:val="18"/>
          <w:color w:val="auto"/>
        </w:rPr>
        <w:t>“Resin”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chromatographic media and/or UF membranes intended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refine or purify the Product, as specified in the Master Batch Record [*].</w:t>
      </w:r>
    </w:p>
    <w:p>
      <w:pPr>
        <w:spacing w:after="0" w:line="126"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“Safety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out in Clause 2.4.</w:t>
      </w:r>
    </w:p>
    <w:p>
      <w:pPr>
        <w:spacing w:after="0" w:line="151"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all or any part of the services to be performed by Lonza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particulars of which are set out in a Project Plan.</w:t>
      </w:r>
    </w:p>
    <w:p>
      <w:pPr>
        <w:spacing w:after="0" w:line="10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“Specifications”</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means the specifications of the Product as specified in Appendix D, which may be amended from time to time in accordance with this Agreement.</w:t>
      </w:r>
    </w:p>
    <w:p>
      <w:pPr>
        <w:spacing w:after="0" w:line="16"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6"/>
          <w:szCs w:val="16"/>
          <w:color w:val="auto"/>
        </w:rPr>
        <w:t>“Suite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out in Clause 8.1.</w:t>
      </w:r>
    </w:p>
    <w:p>
      <w:pPr>
        <w:spacing w:after="0" w:line="151"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8"/>
          <w:szCs w:val="18"/>
          <w:color w:val="auto"/>
        </w:rPr>
        <w:t>“Term”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Clause 14.1.</w:t>
      </w:r>
    </w:p>
    <w:p>
      <w:pPr>
        <w:spacing w:after="0" w:line="139"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“Third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party other than Forty Seven, Lonza and their respective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Affiliates.</w:t>
      </w:r>
    </w:p>
    <w:p>
      <w:pPr>
        <w:spacing w:after="0" w:line="143" w:lineRule="exact"/>
        <w:rPr>
          <w:sz w:val="20"/>
          <w:szCs w:val="20"/>
          <w:color w:val="auto"/>
        </w:rPr>
      </w:pPr>
    </w:p>
    <w:p>
      <w:pPr>
        <w:sectPr>
          <w:pgSz w:w="11900" w:h="16838" w:orient="portrait"/>
          <w:cols w:equalWidth="0" w:num="2">
            <w:col w:w="5340" w:space="720"/>
            <w:col w:w="5360"/>
          </w:cols>
          <w:pgMar w:left="240" w:top="881" w:right="239" w:bottom="1440" w:gutter="0" w:footer="0" w:header="0"/>
          <w:type w:val="continuous"/>
        </w:sectPr>
      </w:pPr>
    </w:p>
    <w:p>
      <w:pPr>
        <w:ind w:right="740" w:firstLine="8"/>
        <w:spacing w:after="0" w:line="277" w:lineRule="auto"/>
        <w:tabs>
          <w:tab w:leader="none" w:pos="255"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81" w:right="239" w:bottom="1440" w:gutter="0" w:footer="0" w:header="0"/>
          <w:type w:val="continuous"/>
        </w:sectPr>
      </w:pPr>
    </w:p>
    <w:bookmarkStart w:id="411" w:name="page412"/>
    <w:bookmarkEnd w:id="4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6">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ln this Agreement references to the Parties are to the Parties to this Agreement, headings are used for convenience only and do not affect its interpretation, references to a statutory provision include references to the statutory provision as modified or re-enacted or both from time to time and to any subordinate legislation made under the statutory provision, references to the singular include the plural and vice versa, and references to the word “including” are to be construed without limitation.</w:t>
      </w:r>
    </w:p>
    <w:p>
      <w:pPr>
        <w:spacing w:after="0" w:line="331" w:lineRule="exact"/>
        <w:rPr>
          <w:sz w:val="20"/>
          <w:szCs w:val="20"/>
          <w:color w:val="auto"/>
        </w:rPr>
      </w:pPr>
    </w:p>
    <w:p>
      <w:pPr>
        <w:ind w:left="680" w:hanging="672"/>
        <w:spacing w:after="0"/>
        <w:tabs>
          <w:tab w:leader="none" w:pos="68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of Services</w:t>
      </w:r>
    </w:p>
    <w:p>
      <w:pPr>
        <w:spacing w:after="0" w:line="134" w:lineRule="exact"/>
        <w:rPr>
          <w:rFonts w:ascii="Arial" w:cs="Arial" w:eastAsia="Arial" w:hAnsi="Arial"/>
          <w:sz w:val="18"/>
          <w:szCs w:val="18"/>
          <w:b w:val="1"/>
          <w:bCs w:val="1"/>
          <w:color w:val="auto"/>
        </w:rPr>
      </w:pPr>
    </w:p>
    <w:p>
      <w:pPr>
        <w:ind w:left="1480" w:hanging="797"/>
        <w:spacing w:after="0" w:line="269" w:lineRule="auto"/>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7"/>
          <w:szCs w:val="17"/>
          <w:u w:val="single" w:color="auto"/>
          <w:color w:val="auto"/>
        </w:rPr>
        <w:t>Performance of Services</w:t>
      </w:r>
      <w:r>
        <w:rPr>
          <w:rFonts w:ascii="Arial" w:cs="Arial" w:eastAsia="Arial" w:hAnsi="Arial"/>
          <w:sz w:val="17"/>
          <w:szCs w:val="17"/>
          <w:color w:val="auto"/>
        </w:rPr>
        <w:t>. Subject to clause 2.3, Lonza shall itself and through its Affiliates, diligently carry out the Services at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Facility as provided in the Project Plan and use commercially reasonable efforts to perform the Services without any material defect and according to the estimated timelines as set forth in the Project Plan (owing to the unpredictable nature of the biological processes involved in the Services, the timescales set down for the performance of the Services are estimated only). Lonza shall retain appropriately qualified and trained personnel with the requisite knowledge and experience to perform the Services in accordance with this Agreement. Lonza may subcontract or delegate any of its rights or obligations under this Agreement to perform the Services to its Affiliate(s); provided that Lonza shall be responsible for each such Affiliate’s performance or non-performance under this Agreement as if Lonza itself were performing such activities. Lonza may engage an External Laboratory to provide some of the Services provided, that any External Laboratories shall be subject to the same obligations and other provisions contained in this Agreement or any applicable Project Plan. In the event of a dispute Lonza shall use its reasonable endeavours to enforce such obligations upon such External Laboratories and pass onto the Customer whatever remedies it obtains from such External Laboratories provided always that Lonza shall not be responsible for any services performed by such External Laboratories.</w:t>
      </w:r>
    </w:p>
    <w:p>
      <w:pPr>
        <w:spacing w:after="0" w:line="85" w:lineRule="exact"/>
        <w:rPr>
          <w:rFonts w:ascii="Arial" w:cs="Arial" w:eastAsia="Arial" w:hAnsi="Arial"/>
          <w:sz w:val="18"/>
          <w:szCs w:val="18"/>
          <w:b w:val="1"/>
          <w:bCs w:val="1"/>
          <w:color w:val="auto"/>
        </w:rPr>
      </w:pPr>
    </w:p>
    <w:p>
      <w:pPr>
        <w:ind w:left="1480" w:hanging="797"/>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7"/>
          <w:szCs w:val="17"/>
          <w:u w:val="single" w:color="auto"/>
          <w:color w:val="auto"/>
        </w:rPr>
        <w:t>cGMP Batches</w:t>
      </w:r>
      <w:r>
        <w:rPr>
          <w:rFonts w:ascii="Arial" w:cs="Arial" w:eastAsia="Arial" w:hAnsi="Arial"/>
          <w:sz w:val="17"/>
          <w:szCs w:val="17"/>
          <w:color w:val="auto"/>
        </w:rPr>
        <w:t>. With respect to the cGMP Batches of Product manufactured, it is agreed that Lonza shall manufacture the cGMP Batches</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Product to meet the Specification provided that there shall be no obligation (other than to use commercially reasonable efforts) to meet the Specification in respect of the first [*] cGMP Batches of Product manufactured, or in respect of the first [*] cGMP Batches of Product manufactured following any change in the process for such Product agreed to or requested by Forty Seven.</w:t>
      </w:r>
    </w:p>
    <w:p>
      <w:pPr>
        <w:spacing w:after="0" w:line="76" w:lineRule="exact"/>
        <w:rPr>
          <w:rFonts w:ascii="Arial" w:cs="Arial" w:eastAsia="Arial" w:hAnsi="Arial"/>
          <w:sz w:val="18"/>
          <w:szCs w:val="18"/>
          <w:b w:val="1"/>
          <w:bCs w:val="1"/>
          <w:color w:val="auto"/>
        </w:rPr>
      </w:pPr>
    </w:p>
    <w:p>
      <w:pPr>
        <w:ind w:left="1480" w:right="100" w:hanging="797"/>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Manufacturing Process</w:t>
      </w:r>
      <w:r>
        <w:rPr>
          <w:rFonts w:ascii="Arial" w:cs="Arial" w:eastAsia="Arial" w:hAnsi="Arial"/>
          <w:sz w:val="18"/>
          <w:szCs w:val="18"/>
          <w:color w:val="auto"/>
        </w:rPr>
        <w:t>. Any changes to the Specifications or the Manufacturing Process for a Product shall be carried out in accordance</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 the Quality Agreement and Lonza’s standard operating procedures.</w:t>
      </w:r>
    </w:p>
    <w:p>
      <w:pPr>
        <w:spacing w:after="0" w:line="75" w:lineRule="exact"/>
        <w:rPr>
          <w:rFonts w:ascii="Arial" w:cs="Arial" w:eastAsia="Arial" w:hAnsi="Arial"/>
          <w:sz w:val="18"/>
          <w:szCs w:val="18"/>
          <w:b w:val="1"/>
          <w:bCs w:val="1"/>
          <w:color w:val="auto"/>
        </w:rPr>
      </w:pPr>
    </w:p>
    <w:p>
      <w:pPr>
        <w:ind w:left="1480" w:right="100" w:hanging="797"/>
        <w:spacing w:after="0" w:line="302" w:lineRule="auto"/>
        <w:rPr>
          <w:rFonts w:ascii="Arial" w:cs="Arial" w:eastAsia="Arial" w:hAnsi="Arial"/>
          <w:sz w:val="18"/>
          <w:szCs w:val="18"/>
          <w:b w:val="1"/>
          <w:bCs w:val="1"/>
          <w:color w:val="auto"/>
        </w:rPr>
      </w:pPr>
      <w:r>
        <w:rPr>
          <w:rFonts w:ascii="Arial" w:cs="Arial" w:eastAsia="Arial" w:hAnsi="Arial"/>
          <w:sz w:val="18"/>
          <w:szCs w:val="18"/>
          <w:color w:val="auto"/>
        </w:rPr>
        <w:t>2.4</w:t>
      </w:r>
      <w:r>
        <w:rPr>
          <w:rFonts w:ascii="Arial" w:cs="Arial" w:eastAsia="Arial" w:hAnsi="Arial"/>
          <w:sz w:val="16"/>
          <w:szCs w:val="16"/>
          <w:u w:val="single" w:color="auto"/>
          <w:color w:val="auto"/>
        </w:rPr>
        <w:t>Supply of Forty Seven Information and Forty Seven Materials</w:t>
      </w:r>
      <w:r>
        <w:rPr>
          <w:rFonts w:ascii="Arial" w:cs="Arial" w:eastAsia="Arial" w:hAnsi="Arial"/>
          <w:sz w:val="16"/>
          <w:szCs w:val="16"/>
          <w:color w:val="auto"/>
        </w:rPr>
        <w:t>. Forty Seven shall supply to Lonza all Forty Seven Information and Forty</w:t>
      </w:r>
      <w:r>
        <w:rPr>
          <w:rFonts w:ascii="Arial" w:cs="Arial" w:eastAsia="Arial" w:hAnsi="Arial"/>
          <w:sz w:val="16"/>
          <w:szCs w:val="16"/>
          <w:u w:val="single" w:color="auto"/>
          <w:color w:val="auto"/>
        </w:rPr>
        <w:t xml:space="preserve"> </w:t>
      </w:r>
      <w:r>
        <w:rPr>
          <w:rFonts w:ascii="Arial" w:cs="Arial" w:eastAsia="Arial" w:hAnsi="Arial"/>
          <w:sz w:val="16"/>
          <w:szCs w:val="16"/>
          <w:color w:val="auto"/>
        </w:rPr>
        <w:t>Seven Materials, and other information or materials that may be reasonably required by Lonza to perform the Services. Lonza shall not be responsible for any delays arising out of Forty Seven’s failure to provide such Forty Seven Information, Forty Seven Materials, or other information or materials reasonably required to perform the Services to Lonza, and [*], including, if applicable, any [*].</w:t>
      </w:r>
    </w:p>
    <w:p>
      <w:pPr>
        <w:spacing w:after="0" w:line="87" w:lineRule="exact"/>
        <w:rPr>
          <w:sz w:val="20"/>
          <w:szCs w:val="20"/>
          <w:color w:val="auto"/>
        </w:rPr>
      </w:pPr>
    </w:p>
    <w:p>
      <w:pPr>
        <w:ind w:right="720" w:firstLine="8"/>
        <w:spacing w:after="0" w:line="277" w:lineRule="auto"/>
        <w:tabs>
          <w:tab w:leader="none" w:pos="255"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81" w:right="259" w:bottom="1440" w:gutter="0" w:footer="0" w:header="0"/>
        </w:sectPr>
      </w:pPr>
    </w:p>
    <w:bookmarkStart w:id="412" w:name="page413"/>
    <w:bookmarkEnd w:id="4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Forty Seven Materials</w:t>
      </w:r>
      <w:r>
        <w:rPr>
          <w:rFonts w:ascii="Arial" w:cs="Arial" w:eastAsia="Arial" w:hAnsi="Arial"/>
          <w:sz w:val="16"/>
          <w:szCs w:val="16"/>
          <w:color w:val="auto"/>
        </w:rPr>
        <w:t>.</w:t>
      </w:r>
    </w:p>
    <w:p>
      <w:pPr>
        <w:spacing w:after="0" w:line="131" w:lineRule="exact"/>
        <w:rPr>
          <w:sz w:val="20"/>
          <w:szCs w:val="20"/>
          <w:color w:val="auto"/>
        </w:rPr>
      </w:pPr>
    </w:p>
    <w:p>
      <w:pPr>
        <w:ind w:left="2160" w:right="40" w:hanging="674"/>
        <w:spacing w:after="0" w:line="257" w:lineRule="auto"/>
        <w:tabs>
          <w:tab w:leader="none" w:pos="21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u w:val="single" w:color="auto"/>
          <w:color w:val="auto"/>
        </w:rPr>
        <w:t>Sale or License</w:t>
      </w:r>
      <w:r>
        <w:rPr>
          <w:rFonts w:ascii="Arial" w:cs="Arial" w:eastAsia="Arial" w:hAnsi="Arial"/>
          <w:sz w:val="18"/>
          <w:szCs w:val="18"/>
          <w:color w:val="auto"/>
        </w:rPr>
        <w:t>. All Forty Seven Materials shall remain the property of Forty Seven, and the transfer of physical possession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any such Forty Seven Materials to, and the physical possession of such Forty Seven Materials by, Lonza, including its Affiliates and/or any External Laboratory shall not be (nor be construed as) a sale, lease, offer to sell or lease, or other transfer of title of such materials to Lonza including its Affiliates and/or any External Laboratories, provided that the Cell Line shall be subject always to the terms of the GS Licence.</w:t>
      </w:r>
    </w:p>
    <w:p>
      <w:pPr>
        <w:spacing w:after="0" w:line="94" w:lineRule="exact"/>
        <w:rPr>
          <w:sz w:val="20"/>
          <w:szCs w:val="20"/>
          <w:color w:val="auto"/>
        </w:rPr>
      </w:pPr>
    </w:p>
    <w:p>
      <w:pPr>
        <w:ind w:left="2160" w:right="240" w:hanging="674"/>
        <w:spacing w:after="0" w:line="257" w:lineRule="auto"/>
        <w:tabs>
          <w:tab w:leader="none" w:pos="21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u w:val="single" w:color="auto"/>
          <w:color w:val="auto"/>
        </w:rPr>
        <w:t>Limited Use</w:t>
      </w:r>
      <w:r>
        <w:rPr>
          <w:rFonts w:ascii="Arial" w:cs="Arial" w:eastAsia="Arial" w:hAnsi="Arial"/>
          <w:sz w:val="18"/>
          <w:szCs w:val="18"/>
          <w:color w:val="auto"/>
        </w:rPr>
        <w:t>. Lonza including its Affiliates and any External Laboratories shall not use the Forty Seven Materials for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purpose other than as necessary for the performance of the Services. Subject to clause 2.1, Lonza, including its Affiliates and any External Laboratories will not provide or transfer any Forty Seven Materials to any Third Party without the prior written consent of the Forty Seven. Lonza, its Affiliates and/or any External Laboratories shall only use the Forty Seven Materials in accordance with this Agreement and Applicable Laws.</w:t>
      </w:r>
    </w:p>
    <w:p>
      <w:pPr>
        <w:spacing w:after="0" w:line="94" w:lineRule="exact"/>
        <w:rPr>
          <w:sz w:val="20"/>
          <w:szCs w:val="20"/>
          <w:color w:val="auto"/>
        </w:rPr>
      </w:pPr>
    </w:p>
    <w:p>
      <w:pPr>
        <w:ind w:left="2160" w:right="240" w:hanging="674"/>
        <w:spacing w:after="0" w:line="279" w:lineRule="auto"/>
        <w:tabs>
          <w:tab w:leader="none" w:pos="214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7"/>
          <w:szCs w:val="17"/>
          <w:u w:val="single" w:color="auto"/>
          <w:color w:val="auto"/>
        </w:rPr>
        <w:t>No Modification or Derivation</w:t>
      </w:r>
      <w:r>
        <w:rPr>
          <w:rFonts w:ascii="Arial" w:cs="Arial" w:eastAsia="Arial" w:hAnsi="Arial"/>
          <w:sz w:val="17"/>
          <w:szCs w:val="17"/>
          <w:color w:val="auto"/>
        </w:rPr>
        <w:t>. Lonza, its Affiliates and External Laboratories shall not attempt to alter or modify the Forty</w:t>
      </w:r>
      <w:r>
        <w:rPr>
          <w:rFonts w:ascii="Arial" w:cs="Arial" w:eastAsia="Arial" w:hAnsi="Arial"/>
          <w:sz w:val="17"/>
          <w:szCs w:val="17"/>
          <w:u w:val="single" w:color="auto"/>
          <w:color w:val="auto"/>
        </w:rPr>
        <w:t xml:space="preserve"> </w:t>
      </w:r>
      <w:r>
        <w:rPr>
          <w:rFonts w:ascii="Arial" w:cs="Arial" w:eastAsia="Arial" w:hAnsi="Arial"/>
          <w:sz w:val="17"/>
          <w:szCs w:val="17"/>
          <w:color w:val="auto"/>
        </w:rPr>
        <w:t>Seven Materials in any way, or to make any derivatives or analogs thereof, without the express prior written consent of Forty Seven, and shall not under any circumstances attempt, directly or indirectly, to analyze, characterize, reverse engineer or otherwise derive the structures, sequences, or constructs of the Forty Seven Materials.</w:t>
      </w:r>
    </w:p>
    <w:p>
      <w:pPr>
        <w:spacing w:after="0" w:line="77" w:lineRule="exact"/>
        <w:rPr>
          <w:sz w:val="20"/>
          <w:szCs w:val="20"/>
          <w:color w:val="auto"/>
        </w:rPr>
      </w:pPr>
    </w:p>
    <w:p>
      <w:pPr>
        <w:ind w:left="2160" w:right="220" w:hanging="674"/>
        <w:spacing w:after="0" w:line="312" w:lineRule="auto"/>
        <w:tabs>
          <w:tab w:leader="none" w:pos="214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u w:val="single" w:color="auto"/>
          <w:color w:val="auto"/>
        </w:rPr>
        <w:t>Care in Use</w:t>
      </w:r>
      <w:r>
        <w:rPr>
          <w:rFonts w:ascii="Arial" w:cs="Arial" w:eastAsia="Arial" w:hAnsi="Arial"/>
          <w:sz w:val="16"/>
          <w:szCs w:val="16"/>
          <w:color w:val="auto"/>
        </w:rPr>
        <w:t>. Subject to clause 2.8, Lonza agrees to use, and shall Cause its Affiliates and External Laboratories to use</w:t>
      </w:r>
      <w:r>
        <w:rPr>
          <w:rFonts w:ascii="Arial" w:cs="Arial" w:eastAsia="Arial" w:hAnsi="Arial"/>
          <w:sz w:val="16"/>
          <w:szCs w:val="16"/>
          <w:u w:val="single" w:color="auto"/>
          <w:color w:val="auto"/>
        </w:rPr>
        <w:t xml:space="preserve"> </w:t>
      </w:r>
      <w:r>
        <w:rPr>
          <w:rFonts w:ascii="Arial" w:cs="Arial" w:eastAsia="Arial" w:hAnsi="Arial"/>
          <w:sz w:val="16"/>
          <w:szCs w:val="16"/>
          <w:color w:val="auto"/>
        </w:rPr>
        <w:t>reasonable care in the use, handling, storage, containment, transportation and disposition of the Forty Seven Materials. Lonza shall not use, nor authorize the use of, any Forty Seven Materials on or in humans for any purpose under any circumstances.</w:t>
      </w:r>
    </w:p>
    <w:p>
      <w:pPr>
        <w:spacing w:after="0" w:line="52" w:lineRule="exact"/>
        <w:rPr>
          <w:sz w:val="20"/>
          <w:szCs w:val="20"/>
          <w:color w:val="auto"/>
        </w:rPr>
      </w:pPr>
    </w:p>
    <w:p>
      <w:pPr>
        <w:ind w:left="1480" w:right="20" w:hanging="796"/>
        <w:spacing w:after="0" w:line="285" w:lineRule="auto"/>
        <w:tabs>
          <w:tab w:leader="none" w:pos="14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Raw Materials</w:t>
      </w:r>
      <w:r>
        <w:rPr>
          <w:rFonts w:ascii="Arial" w:cs="Arial" w:eastAsia="Arial" w:hAnsi="Arial"/>
          <w:sz w:val="16"/>
          <w:szCs w:val="16"/>
          <w:color w:val="auto"/>
        </w:rPr>
        <w:t>. Lonza shall procure all required Raw Materials as well as consumables, other than those Raw Materials that are Forty</w:t>
      </w:r>
      <w:r>
        <w:rPr>
          <w:rFonts w:ascii="Arial" w:cs="Arial" w:eastAsia="Arial" w:hAnsi="Arial"/>
          <w:sz w:val="16"/>
          <w:szCs w:val="16"/>
          <w:u w:val="single" w:color="auto"/>
          <w:color w:val="auto"/>
        </w:rPr>
        <w:t xml:space="preserve"> </w:t>
      </w:r>
      <w:r>
        <w:rPr>
          <w:rFonts w:ascii="Arial" w:cs="Arial" w:eastAsia="Arial" w:hAnsi="Arial"/>
          <w:sz w:val="16"/>
          <w:szCs w:val="16"/>
          <w:color w:val="auto"/>
        </w:rPr>
        <w:t>Seven Materials. Forty Seven shall be responsible for payment in accordance with this Clause 2.6, Clause 8.5 and Clause 14.3.2(b) for all consumables and Raw Materials ordered or irrevocably committed to be procured by Lonza in accordance with this Agreement. Upon cancellation of any Batch by Forty Seven, or termination of this Agreement all such unused Raw Materials shall be paid for by Forty Seven, at the cost incurred by Lonza plus the Raw Materials Fee, within [*] days of invoice and at Forty Seven’s option, either</w:t>
      </w:r>
    </w:p>
    <w:p>
      <w:pPr>
        <w:spacing w:after="0" w:line="2" w:lineRule="exact"/>
        <w:rPr>
          <w:sz w:val="20"/>
          <w:szCs w:val="20"/>
          <w:color w:val="auto"/>
        </w:rPr>
      </w:pPr>
    </w:p>
    <w:p>
      <w:pPr>
        <w:ind w:left="1480" w:right="540"/>
        <w:spacing w:after="0" w:line="261" w:lineRule="auto"/>
        <w:tabs>
          <w:tab w:leader="none" w:pos="172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delivered to Forty Seven or (b) disposed of by Lonza; provided that upon any such cancellation or termination, Lonza shall use commercially reasonable efforts to cancel or mitigate any obligation to purchase Raw Materials.</w:t>
      </w:r>
    </w:p>
    <w:p>
      <w:pPr>
        <w:spacing w:after="0" w:line="89" w:lineRule="exact"/>
        <w:rPr>
          <w:sz w:val="20"/>
          <w:szCs w:val="20"/>
          <w:color w:val="auto"/>
        </w:rPr>
      </w:pPr>
    </w:p>
    <w:p>
      <w:pPr>
        <w:jc w:val="both"/>
        <w:ind w:left="1480" w:right="20" w:hanging="796"/>
        <w:spacing w:after="0" w:line="264" w:lineRule="auto"/>
        <w:tabs>
          <w:tab w:leader="none" w:pos="14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u w:val="single" w:color="auto"/>
          <w:color w:val="auto"/>
        </w:rPr>
        <w:t>Safety Stock</w:t>
      </w:r>
      <w:r>
        <w:rPr>
          <w:rFonts w:ascii="Arial" w:cs="Arial" w:eastAsia="Arial" w:hAnsi="Arial"/>
          <w:sz w:val="18"/>
          <w:szCs w:val="18"/>
          <w:color w:val="auto"/>
        </w:rPr>
        <w:t>. Lonza will, unless Forty Seven instructs Lonza otherwise, and subject to Forty Seven paying the appropriate Raw Materials</w:t>
      </w:r>
      <w:r>
        <w:rPr>
          <w:rFonts w:ascii="Arial" w:cs="Arial" w:eastAsia="Arial" w:hAnsi="Arial"/>
          <w:sz w:val="18"/>
          <w:szCs w:val="18"/>
          <w:u w:val="single" w:color="auto"/>
          <w:color w:val="auto"/>
        </w:rPr>
        <w:t xml:space="preserve"> </w:t>
      </w:r>
      <w:r>
        <w:rPr>
          <w:rFonts w:ascii="Arial" w:cs="Arial" w:eastAsia="Arial" w:hAnsi="Arial"/>
          <w:sz w:val="18"/>
          <w:szCs w:val="18"/>
          <w:color w:val="auto"/>
        </w:rPr>
        <w:t>Fee, maintain a sufficient safety stock of Raw Materials (including a safety stock of Resin) in accordance with Lonza’s standard policies or as otherwise agreed in writing by the Parties.</w:t>
      </w:r>
    </w:p>
    <w:p>
      <w:pPr>
        <w:spacing w:after="0" w:line="87" w:lineRule="exact"/>
        <w:rPr>
          <w:sz w:val="20"/>
          <w:szCs w:val="20"/>
          <w:color w:val="auto"/>
        </w:rPr>
      </w:pPr>
    </w:p>
    <w:p>
      <w:pPr>
        <w:ind w:left="1480" w:hanging="796"/>
        <w:spacing w:after="0" w:line="259" w:lineRule="auto"/>
        <w:tabs>
          <w:tab w:leader="none" w:pos="14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Immediately following the Effective Date, Forty Seven shall supply to Lonza the Forty Seven Information with full details of any hazards relating to the Forty Seven Materials, their storage and use. On review and approval by Lonza’s safety committee of this Forty Seven Information and the referenced Forty Seven Materials, Forty Seven Background Intellectual Property, and any other necessary Intellectual Property shall be provided to Lonza at Lonza’s request.</w:t>
      </w:r>
    </w:p>
    <w:p>
      <w:pPr>
        <w:spacing w:after="0" w:line="119" w:lineRule="exact"/>
        <w:rPr>
          <w:sz w:val="20"/>
          <w:szCs w:val="20"/>
          <w:color w:val="auto"/>
        </w:rPr>
      </w:pPr>
    </w:p>
    <w:p>
      <w:pPr>
        <w:ind w:right="720" w:firstLine="8"/>
        <w:spacing w:after="0" w:line="277" w:lineRule="auto"/>
        <w:tabs>
          <w:tab w:leader="none" w:pos="25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881" w:right="259" w:bottom="1440" w:gutter="0" w:footer="0" w:header="0"/>
        </w:sectPr>
      </w:pPr>
    </w:p>
    <w:bookmarkStart w:id="413" w:name="page414"/>
    <w:bookmarkEnd w:id="4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0">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Records</w:t>
      </w:r>
      <w:r>
        <w:rPr>
          <w:rFonts w:ascii="Arial" w:cs="Arial" w:eastAsia="Arial" w:hAnsi="Arial"/>
          <w:sz w:val="16"/>
          <w:szCs w:val="16"/>
          <w:color w:val="auto"/>
        </w:rPr>
        <w:t>. Lonza will maintain in accordance with the Quality Agreement records and samples relating to the manufacture of the Product.</w:t>
      </w:r>
    </w:p>
    <w:p>
      <w:pPr>
        <w:spacing w:after="0" w:line="370" w:lineRule="exact"/>
        <w:rPr>
          <w:sz w:val="20"/>
          <w:szCs w:val="20"/>
          <w:color w:val="auto"/>
        </w:rPr>
      </w:pPr>
    </w:p>
    <w:p>
      <w:pPr>
        <w:ind w:left="680" w:hanging="672"/>
        <w:spacing w:after="0"/>
        <w:tabs>
          <w:tab w:leader="none" w:pos="68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Project Management / Steering Committee</w:t>
      </w:r>
    </w:p>
    <w:p>
      <w:pPr>
        <w:spacing w:after="0" w:line="134" w:lineRule="exact"/>
        <w:rPr>
          <w:rFonts w:ascii="Arial" w:cs="Arial" w:eastAsia="Arial" w:hAnsi="Arial"/>
          <w:sz w:val="18"/>
          <w:szCs w:val="18"/>
          <w:b w:val="1"/>
          <w:bCs w:val="1"/>
          <w:color w:val="auto"/>
        </w:rPr>
      </w:pPr>
    </w:p>
    <w:p>
      <w:pPr>
        <w:ind w:left="1480" w:right="20" w:hanging="797"/>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7"/>
          <w:szCs w:val="17"/>
          <w:u w:val="single" w:color="auto"/>
          <w:color w:val="auto"/>
        </w:rPr>
        <w:t>Project Plans</w:t>
      </w:r>
      <w:r>
        <w:rPr>
          <w:rFonts w:ascii="Arial" w:cs="Arial" w:eastAsia="Arial" w:hAnsi="Arial"/>
          <w:sz w:val="17"/>
          <w:szCs w:val="17"/>
          <w:color w:val="auto"/>
        </w:rPr>
        <w:t>. With respect to a new project to be governed by this Agreement, a new Project Plan shall be added by agreement in a</w:t>
      </w:r>
      <w:r>
        <w:rPr>
          <w:rFonts w:ascii="Arial" w:cs="Arial" w:eastAsia="Arial" w:hAnsi="Arial"/>
          <w:sz w:val="17"/>
          <w:szCs w:val="17"/>
          <w:u w:val="single" w:color="auto"/>
          <w:color w:val="auto"/>
        </w:rPr>
        <w:t xml:space="preserve"> </w:t>
      </w:r>
      <w:r>
        <w:rPr>
          <w:rFonts w:ascii="Arial" w:cs="Arial" w:eastAsia="Arial" w:hAnsi="Arial"/>
          <w:sz w:val="17"/>
          <w:szCs w:val="17"/>
          <w:color w:val="auto"/>
        </w:rPr>
        <w:t>writing signed by the Parties and appended to Appendix A. Each Project Plan shall include a description of the Services to be provided, the Product to be manufactured, Specifications, a schedule for completion of the Project Plan, pricing details, and such other information as is necessary for relevant Services. ln the event of a conflict between the terms of a Project Plan and this Agreement, the terms of this Agreement will govern unless the Parties expressly agree otherwise in writing. Any modifications or amendments to the Project Plans shall be expressly agreed in writing and signed by the Parties</w:t>
      </w:r>
    </w:p>
    <w:p>
      <w:pPr>
        <w:spacing w:after="0" w:line="83" w:lineRule="exact"/>
        <w:rPr>
          <w:rFonts w:ascii="Arial" w:cs="Arial" w:eastAsia="Arial" w:hAnsi="Arial"/>
          <w:sz w:val="18"/>
          <w:szCs w:val="18"/>
          <w:b w:val="1"/>
          <w:bCs w:val="1"/>
          <w:color w:val="auto"/>
        </w:rPr>
      </w:pPr>
    </w:p>
    <w:p>
      <w:pPr>
        <w:ind w:left="1480" w:right="140" w:hanging="797"/>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Project Management</w:t>
      </w:r>
      <w:r>
        <w:rPr>
          <w:rFonts w:ascii="Arial" w:cs="Arial" w:eastAsia="Arial" w:hAnsi="Arial"/>
          <w:sz w:val="18"/>
          <w:szCs w:val="18"/>
          <w:color w:val="auto"/>
        </w:rPr>
        <w:t>. With respect to each Project Plan, each party will appoint a project manager who will be the party responsible for</w:t>
      </w:r>
      <w:r>
        <w:rPr>
          <w:rFonts w:ascii="Arial" w:cs="Arial" w:eastAsia="Arial" w:hAnsi="Arial"/>
          <w:sz w:val="18"/>
          <w:szCs w:val="18"/>
          <w:u w:val="single" w:color="auto"/>
          <w:color w:val="auto"/>
        </w:rPr>
        <w:t xml:space="preserve"> </w:t>
      </w:r>
      <w:r>
        <w:rPr>
          <w:rFonts w:ascii="Arial" w:cs="Arial" w:eastAsia="Arial" w:hAnsi="Arial"/>
          <w:sz w:val="18"/>
          <w:szCs w:val="18"/>
          <w:color w:val="auto"/>
        </w:rPr>
        <w:t>overseeing the Project Plan.</w:t>
      </w:r>
    </w:p>
    <w:p>
      <w:pPr>
        <w:spacing w:after="0" w:line="75" w:lineRule="exact"/>
        <w:rPr>
          <w:rFonts w:ascii="Arial" w:cs="Arial" w:eastAsia="Arial" w:hAnsi="Arial"/>
          <w:sz w:val="18"/>
          <w:szCs w:val="18"/>
          <w:b w:val="1"/>
          <w:bCs w:val="1"/>
          <w:color w:val="auto"/>
        </w:rPr>
      </w:pPr>
    </w:p>
    <w:p>
      <w:pPr>
        <w:ind w:left="1480" w:right="80" w:hanging="797"/>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3.3</w:t>
      </w:r>
      <w:r>
        <w:rPr>
          <w:rFonts w:ascii="Arial" w:cs="Arial" w:eastAsia="Arial" w:hAnsi="Arial"/>
          <w:sz w:val="17"/>
          <w:szCs w:val="17"/>
          <w:u w:val="single" w:color="auto"/>
          <w:color w:val="auto"/>
        </w:rPr>
        <w:t>Steering Committee</w:t>
      </w:r>
      <w:r>
        <w:rPr>
          <w:rFonts w:ascii="Arial" w:cs="Arial" w:eastAsia="Arial" w:hAnsi="Arial"/>
          <w:sz w:val="17"/>
          <w:szCs w:val="17"/>
          <w:color w:val="auto"/>
        </w:rPr>
        <w:t>. Each Party shall name a mutually agreed upon equal number of representatives for the Steering Committee, which</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meet twice per calendar year, or as otherwise mutually agreed by the Parties. ln the event that a Steering Committee dispute cannot be resolved, such dispute shall be escalated to a senior executive of each of Forty Seven and Lonza.</w:t>
      </w:r>
    </w:p>
    <w:p>
      <w:pPr>
        <w:spacing w:after="0" w:line="57" w:lineRule="exact"/>
        <w:rPr>
          <w:rFonts w:ascii="Arial" w:cs="Arial" w:eastAsia="Arial" w:hAnsi="Arial"/>
          <w:sz w:val="18"/>
          <w:szCs w:val="18"/>
          <w:b w:val="1"/>
          <w:bCs w:val="1"/>
          <w:color w:val="auto"/>
        </w:rPr>
      </w:pPr>
    </w:p>
    <w:p>
      <w:pPr>
        <w:ind w:left="70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primary function of the Steering Committee is to ensure the ongoing communication between the Parties and discuss and resolve any issues arising under this Agreement. ln addition to the primary function described above, the Steering Committee shall also take on the following responsibilities:</w:t>
      </w:r>
    </w:p>
    <w:p>
      <w:pPr>
        <w:spacing w:after="0" w:line="87"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5"/>
          <w:szCs w:val="15"/>
          <w:color w:val="auto"/>
        </w:rPr>
        <w:t>discuss and seek resolution of issues around management of the Services;</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agree and monitor deadlines and milestones for the Services;</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discuss and seek resolution for any Batch failures and unreleased Batches; and</w:t>
      </w:r>
    </w:p>
    <w:p>
      <w:pPr>
        <w:spacing w:after="0" w:line="131" w:lineRule="exact"/>
        <w:rPr>
          <w:sz w:val="20"/>
          <w:szCs w:val="20"/>
          <w:color w:val="auto"/>
        </w:rPr>
      </w:pPr>
    </w:p>
    <w:p>
      <w:pPr>
        <w:ind w:left="2160" w:right="820" w:hanging="674"/>
        <w:spacing w:after="0" w:line="308" w:lineRule="auto"/>
        <w:tabs>
          <w:tab w:leader="none" w:pos="214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7"/>
          <w:szCs w:val="17"/>
          <w:color w:val="auto"/>
        </w:rPr>
        <w:t>discuss and recommend any changes to the Services (although such changes will not take effect until they have been incorporated into a written amendment to the Project Plan which has been signed by the Parties).</w:t>
      </w:r>
    </w:p>
    <w:p>
      <w:pPr>
        <w:spacing w:after="0" w:line="52" w:lineRule="exact"/>
        <w:rPr>
          <w:sz w:val="20"/>
          <w:szCs w:val="20"/>
          <w:color w:val="auto"/>
        </w:rPr>
      </w:pPr>
    </w:p>
    <w:p>
      <w:pPr>
        <w:ind w:left="1480" w:right="100" w:hanging="796"/>
        <w:spacing w:after="0" w:line="257" w:lineRule="auto"/>
        <w:tabs>
          <w:tab w:leader="none" w:pos="14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u w:val="single" w:color="auto"/>
          <w:color w:val="auto"/>
        </w:rPr>
        <w:t>Person in Plant</w:t>
      </w:r>
      <w:r>
        <w:rPr>
          <w:rFonts w:ascii="Arial" w:cs="Arial" w:eastAsia="Arial" w:hAnsi="Arial"/>
          <w:sz w:val="18"/>
          <w:szCs w:val="18"/>
          <w:color w:val="auto"/>
        </w:rPr>
        <w:t>. Forty Seven shall be permitted to have, at no additional cost, [*] at the Facility as reasonably requested by Forty Seven,</w:t>
      </w:r>
      <w:r>
        <w:rPr>
          <w:rFonts w:ascii="Arial" w:cs="Arial" w:eastAsia="Arial" w:hAnsi="Arial"/>
          <w:sz w:val="18"/>
          <w:szCs w:val="18"/>
          <w:u w:val="single" w:color="auto"/>
          <w:color w:val="auto"/>
        </w:rPr>
        <w:t xml:space="preserve"> </w:t>
      </w:r>
      <w:r>
        <w:rPr>
          <w:rFonts w:ascii="Arial" w:cs="Arial" w:eastAsia="Arial" w:hAnsi="Arial"/>
          <w:sz w:val="18"/>
          <w:szCs w:val="18"/>
          <w:color w:val="auto"/>
        </w:rPr>
        <w:t>at any time during the Manufacturing Process for the purpose of observing, reporting on, and consulting as to the performance of the Services. Such employee shall be subject to and agree to abide by confidentiality obligations to Third Parties and Lonza’s customary practices and operating procedures regarding persons in plant, and such employee agrees to comply with all instructions of Lonza’s employees at the Facility.</w:t>
      </w:r>
    </w:p>
    <w:p>
      <w:pPr>
        <w:spacing w:after="0" w:line="333" w:lineRule="exact"/>
        <w:rPr>
          <w:sz w:val="20"/>
          <w:szCs w:val="20"/>
          <w:color w:val="auto"/>
        </w:rPr>
      </w:pPr>
    </w:p>
    <w:p>
      <w:pPr>
        <w:ind w:left="680" w:hanging="672"/>
        <w:spacing w:after="0"/>
        <w:tabs>
          <w:tab w:leader="none" w:pos="68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t>Quality</w:t>
      </w:r>
    </w:p>
    <w:p>
      <w:pPr>
        <w:spacing w:after="0" w:line="134" w:lineRule="exact"/>
        <w:rPr>
          <w:rFonts w:ascii="Arial" w:cs="Arial" w:eastAsia="Arial" w:hAnsi="Arial"/>
          <w:sz w:val="18"/>
          <w:szCs w:val="18"/>
          <w:b w:val="1"/>
          <w:bCs w:val="1"/>
          <w:color w:val="auto"/>
        </w:rPr>
      </w:pPr>
    </w:p>
    <w:p>
      <w:pPr>
        <w:ind w:left="1480" w:hanging="797"/>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4.1Responsibility for quality assurance and quality control of Product shall be allocated between Forty Seven and Lonza as set forth in the Quality Agreement and in Lonza standard operating procedures. If there is a conflict between the terms and conditions of this Agreement and the Quality Agreement, the terms and conditions of this Agreement shall prevail. If the Quality Agreement is not in place at the Effective Date, Lonza and Forty Seven commit to enter into the Quality Agreement in a timely manner, but in no event later than the commencement of cGMP manufacturing under this Agreement.</w:t>
      </w:r>
    </w:p>
    <w:p>
      <w:pPr>
        <w:spacing w:after="0" w:line="121" w:lineRule="exact"/>
        <w:rPr>
          <w:sz w:val="20"/>
          <w:szCs w:val="20"/>
          <w:color w:val="auto"/>
        </w:rPr>
      </w:pPr>
    </w:p>
    <w:p>
      <w:pPr>
        <w:ind w:right="680" w:firstLine="8"/>
        <w:spacing w:after="0" w:line="277" w:lineRule="auto"/>
        <w:tabs>
          <w:tab w:leader="none" w:pos="255"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881" w:right="299" w:bottom="1440" w:gutter="0" w:footer="0" w:header="0"/>
        </w:sectPr>
      </w:pPr>
    </w:p>
    <w:bookmarkStart w:id="414" w:name="page415"/>
    <w:bookmarkEnd w:id="4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2">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Provisions regarding inspections by Regulatory Authorities and audits shall be set out in the Quality Agreement.</w:t>
      </w:r>
    </w:p>
    <w:p>
      <w:pPr>
        <w:spacing w:after="0" w:line="370" w:lineRule="exact"/>
        <w:rPr>
          <w:sz w:val="20"/>
          <w:szCs w:val="20"/>
          <w:color w:val="auto"/>
        </w:rPr>
      </w:pPr>
    </w:p>
    <w:p>
      <w:pPr>
        <w:ind w:left="680" w:hanging="672"/>
        <w:spacing w:after="0"/>
        <w:tabs>
          <w:tab w:leader="none" w:pos="680"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34" w:lineRule="exact"/>
        <w:rPr>
          <w:rFonts w:ascii="Arial" w:cs="Arial" w:eastAsia="Arial" w:hAnsi="Arial"/>
          <w:sz w:val="18"/>
          <w:szCs w:val="18"/>
          <w:b w:val="1"/>
          <w:bCs w:val="1"/>
          <w:color w:val="auto"/>
        </w:rPr>
      </w:pPr>
    </w:p>
    <w:p>
      <w:pPr>
        <w:ind w:left="1480" w:hanging="797"/>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7"/>
          <w:szCs w:val="17"/>
          <w:color w:val="auto"/>
        </w:rPr>
        <w:t>Each Party shall, during the Term and for [*] years after delivery of the last Product manufactured or Services provided under this Agreement, obtain and maintain at its own cost and expense from a qualified insurance company, comprehensive general liability insurance including, but not limited to, contractual liability coverage and product liability coverage in the amount of at least [*] per claim. Each Party shall provide the respective other Party with a certificate of such insurance upon reasonable request.</w:t>
      </w:r>
    </w:p>
    <w:p>
      <w:pPr>
        <w:spacing w:after="0" w:line="316" w:lineRule="exact"/>
        <w:rPr>
          <w:rFonts w:ascii="Arial" w:cs="Arial" w:eastAsia="Arial" w:hAnsi="Arial"/>
          <w:sz w:val="18"/>
          <w:szCs w:val="18"/>
          <w:b w:val="1"/>
          <w:bCs w:val="1"/>
          <w:color w:val="auto"/>
        </w:rPr>
      </w:pPr>
    </w:p>
    <w:p>
      <w:pPr>
        <w:ind w:left="680" w:hanging="672"/>
        <w:spacing w:after="0"/>
        <w:tabs>
          <w:tab w:leader="none" w:pos="680"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Assigned Capacity, Alternate Product, Forecasting, Ordering and Cancellation</w:t>
      </w:r>
    </w:p>
    <w:p>
      <w:pPr>
        <w:spacing w:after="0" w:line="134"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6"/>
          <w:szCs w:val="16"/>
          <w:u w:val="single" w:color="auto"/>
          <w:color w:val="auto"/>
        </w:rPr>
        <w:t>Assigned Capacity</w:t>
      </w:r>
      <w:r>
        <w:rPr>
          <w:rFonts w:ascii="Arial" w:cs="Arial" w:eastAsia="Arial" w:hAnsi="Arial"/>
          <w:sz w:val="16"/>
          <w:szCs w:val="16"/>
          <w:color w:val="auto"/>
        </w:rPr>
        <w:t>.</w:t>
      </w:r>
    </w:p>
    <w:p>
      <w:pPr>
        <w:spacing w:after="0" w:line="130" w:lineRule="exact"/>
        <w:rPr>
          <w:rFonts w:ascii="Arial" w:cs="Arial" w:eastAsia="Arial" w:hAnsi="Arial"/>
          <w:sz w:val="18"/>
          <w:szCs w:val="18"/>
          <w:b w:val="1"/>
          <w:bCs w:val="1"/>
          <w:color w:val="auto"/>
        </w:rPr>
      </w:pPr>
    </w:p>
    <w:p>
      <w:pPr>
        <w:ind w:left="2160" w:right="120" w:hanging="680"/>
        <w:spacing w:after="0" w:line="264" w:lineRule="auto"/>
        <w:tabs>
          <w:tab w:leader="none" w:pos="216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Lonza shall manufacture [*] cGMP Batches during the Assigned Capacity. Lonza will use commercially reasonable efforts to accommodate Forty Seven’s Forecast as set out in clause 6.3 below, provided however that, except as expressly set forth in this Agreement (including Section 6.1(b)), [*] and subject to [*], Lonza shall [*].</w:t>
      </w:r>
    </w:p>
    <w:p>
      <w:pPr>
        <w:spacing w:after="0" w:line="86" w:lineRule="exact"/>
        <w:rPr>
          <w:rFonts w:ascii="Arial" w:cs="Arial" w:eastAsia="Arial" w:hAnsi="Arial"/>
          <w:sz w:val="18"/>
          <w:szCs w:val="18"/>
          <w:color w:val="auto"/>
        </w:rPr>
      </w:pPr>
    </w:p>
    <w:p>
      <w:pPr>
        <w:ind w:left="2160" w:right="60" w:hanging="680"/>
        <w:spacing w:after="0" w:line="272" w:lineRule="auto"/>
        <w:tabs>
          <w:tab w:leader="none" w:pos="2160" w:val="left"/>
        </w:tabs>
        <w:numPr>
          <w:ilvl w:val="1"/>
          <w:numId w:val="484"/>
        </w:numPr>
        <w:rPr>
          <w:rFonts w:ascii="Arial" w:cs="Arial" w:eastAsia="Arial" w:hAnsi="Arial"/>
          <w:sz w:val="17"/>
          <w:szCs w:val="17"/>
          <w:color w:val="auto"/>
        </w:rPr>
      </w:pPr>
      <w:r>
        <w:rPr>
          <w:rFonts w:ascii="Arial" w:cs="Arial" w:eastAsia="Arial" w:hAnsi="Arial"/>
          <w:sz w:val="17"/>
          <w:szCs w:val="17"/>
          <w:color w:val="auto"/>
        </w:rPr>
        <w:t>Whether a cGMP Batch is manufactured within the Assigned Capacity shall be measured from the Commencement Date of such cGMP Batch and for the purposes of clarity, such Assigned capacity shall be (a) from [*] to [*] at [*] çGMP Batches at [*] scale at Lonza’s Facility and (b) from [*] until [*] al [*] cGMP Batches at [*] scale per calendar year at Lonza’s Facility. Notwithstanding any provision to the contrary herein, Lonza shall manufacture the first cGMP Batch within the Assigned Capacity in [*] and Lonza shall not manufacture more than [*] cGMP Batches in any calendar quarter unless otherwise agreed in writing between the Parties. Subject to the foregoing provisions, the above cGMP Batches shall be regarded as a binding commitment on the Parties for the Term, and (except as set forth in Clauses [*]) [*].</w:t>
      </w:r>
    </w:p>
    <w:p>
      <w:pPr>
        <w:spacing w:after="0" w:line="83" w:lineRule="exact"/>
        <w:rPr>
          <w:sz w:val="20"/>
          <w:szCs w:val="20"/>
          <w:color w:val="auto"/>
        </w:rPr>
      </w:pPr>
    </w:p>
    <w:p>
      <w:pPr>
        <w:ind w:left="1480" w:right="20" w:hanging="796"/>
        <w:spacing w:after="0" w:line="293" w:lineRule="auto"/>
        <w:tabs>
          <w:tab w:leader="none" w:pos="14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Alternate Product</w:t>
      </w:r>
      <w:r>
        <w:rPr>
          <w:rFonts w:ascii="Arial" w:cs="Arial" w:eastAsia="Arial" w:hAnsi="Arial"/>
          <w:sz w:val="16"/>
          <w:szCs w:val="16"/>
          <w:color w:val="auto"/>
        </w:rPr>
        <w:t>. Forty Seven may request Lonza to manufacture Alternate Product(s) in place of or in addition to the CD47 Product</w:t>
      </w:r>
      <w:r>
        <w:rPr>
          <w:rFonts w:ascii="Arial" w:cs="Arial" w:eastAsia="Arial" w:hAnsi="Arial"/>
          <w:sz w:val="16"/>
          <w:szCs w:val="16"/>
          <w:u w:val="single" w:color="auto"/>
          <w:color w:val="auto"/>
        </w:rPr>
        <w:t xml:space="preserve"> </w:t>
      </w:r>
      <w:r>
        <w:rPr>
          <w:rFonts w:ascii="Arial" w:cs="Arial" w:eastAsia="Arial" w:hAnsi="Arial"/>
          <w:sz w:val="16"/>
          <w:szCs w:val="16"/>
          <w:color w:val="auto"/>
        </w:rPr>
        <w:t>within the Assigned Capacity provided always that any such Alternate Products does not exceed Lonza’s then current standard processing times and subject to Lonza’s agreement, and the negotiation and execution of an amended Project Plan agreed between the Parties that shall set out the price and terms for the transfer of the Alternate Product into the Facility and for payment of all such additional costs as reasonably incurred by Lonza in the completion of such transfer. If an Alternate Product is introduced, the number of cGMP Batches to be manufactured within the Assigned Capacity in each year may be revised as agreed in writing by the Parties.</w:t>
      </w:r>
    </w:p>
    <w:p>
      <w:pPr>
        <w:spacing w:after="0" w:line="70" w:lineRule="exact"/>
        <w:rPr>
          <w:sz w:val="20"/>
          <w:szCs w:val="20"/>
          <w:color w:val="auto"/>
        </w:rPr>
      </w:pPr>
    </w:p>
    <w:p>
      <w:pPr>
        <w:ind w:left="1480" w:right="60" w:hanging="796"/>
        <w:spacing w:after="0" w:line="259" w:lineRule="auto"/>
        <w:tabs>
          <w:tab w:leader="none" w:pos="14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Forecasting</w:t>
      </w:r>
      <w:r>
        <w:rPr>
          <w:rFonts w:ascii="Arial" w:cs="Arial" w:eastAsia="Arial" w:hAnsi="Arial"/>
          <w:sz w:val="18"/>
          <w:szCs w:val="18"/>
          <w:color w:val="auto"/>
        </w:rPr>
        <w:t>. No later than the first (1st) day of each calendar quarter, Forty Seven shall supply Lonza with a written forecast showing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Forty Seven’s good faith estimated quarterly Commencement Date requirements for cGMP Batches to be manufactured within the Assigned Capacity in the following [*] month period (the “Forecast”) provided that in no event shall more than [*] such Batches per year be forecast.</w:t>
      </w:r>
    </w:p>
    <w:p>
      <w:pPr>
        <w:spacing w:after="0" w:line="119" w:lineRule="exact"/>
        <w:rPr>
          <w:sz w:val="20"/>
          <w:szCs w:val="20"/>
          <w:color w:val="auto"/>
        </w:rPr>
      </w:pPr>
    </w:p>
    <w:p>
      <w:pPr>
        <w:ind w:right="740" w:firstLine="8"/>
        <w:spacing w:after="0" w:line="277" w:lineRule="auto"/>
        <w:tabs>
          <w:tab w:leader="none" w:pos="25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82" w:right="23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4">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1480" w:right="160" w:hanging="796"/>
        <w:spacing w:after="0" w:line="277" w:lineRule="auto"/>
        <w:tabs>
          <w:tab w:leader="none" w:pos="14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u w:val="single" w:color="auto"/>
          <w:color w:val="auto"/>
        </w:rPr>
        <w:t>Rescheduling</w:t>
      </w:r>
      <w:r>
        <w:rPr>
          <w:rFonts w:ascii="Arial" w:cs="Arial" w:eastAsia="Arial" w:hAnsi="Arial"/>
          <w:sz w:val="18"/>
          <w:szCs w:val="18"/>
          <w:color w:val="auto"/>
        </w:rPr>
        <w:t>. Except as set forth in Clause 7.3.3 and subject to Clause 6.1, [*] reschedule the Commencement Date with respect to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cGMP Batch.</w:t>
      </w:r>
    </w:p>
    <w:p>
      <w:pPr>
        <w:spacing w:after="0" w:line="76" w:lineRule="exact"/>
        <w:rPr>
          <w:sz w:val="20"/>
          <w:szCs w:val="20"/>
          <w:color w:val="auto"/>
        </w:rPr>
      </w:pPr>
    </w:p>
    <w:p>
      <w:pPr>
        <w:ind w:left="1480" w:hanging="796"/>
        <w:spacing w:after="0" w:line="288" w:lineRule="auto"/>
        <w:tabs>
          <w:tab w:leader="none" w:pos="14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Cancellation of cGMP Batches</w:t>
      </w:r>
      <w:r>
        <w:rPr>
          <w:rFonts w:ascii="Arial" w:cs="Arial" w:eastAsia="Arial" w:hAnsi="Arial"/>
          <w:sz w:val="16"/>
          <w:szCs w:val="16"/>
          <w:color w:val="auto"/>
        </w:rPr>
        <w:t>. If Forty Seven cancels any cGMP Batch it shall not receive any refund or rebate of the Suite Fee (except</w:t>
      </w:r>
      <w:r>
        <w:rPr>
          <w:rFonts w:ascii="Arial" w:cs="Arial" w:eastAsia="Arial" w:hAnsi="Arial"/>
          <w:sz w:val="16"/>
          <w:szCs w:val="16"/>
          <w:u w:val="single" w:color="auto"/>
          <w:color w:val="auto"/>
        </w:rPr>
        <w:t xml:space="preserve"> </w:t>
      </w:r>
      <w:r>
        <w:rPr>
          <w:rFonts w:ascii="Arial" w:cs="Arial" w:eastAsia="Arial" w:hAnsi="Arial"/>
          <w:sz w:val="16"/>
          <w:szCs w:val="16"/>
          <w:color w:val="auto"/>
        </w:rPr>
        <w:t>as set forth in this Clause 6.5 or Clause 6.7). In addition, Forty Seven shall pay for all costs associated with the cancelled cGMP Batch that Lonza has incurred, or is irrevocably committed to pay, including the costs of Raw Materials and the Raw Materials Fee, in accordance with Clause 2.6. Lonza shall use commercially reasonable efforts to sell all or any part of the Assigned Capacity that Forty Seven has notified Lonza that it does not wish to use, but Lonza does not make any commitment, warranty or representation that it will be successful in finding any Third Party customer (existing or new) to fill such excess Assigned Capacity. If Lonza is able to sell all or any part of such excess Assigned Capacity to a Third Party, Lonza shall refund to Forty Seven [*] the Suite Fee for such year with respect to each manufacturing slot Lonza is able to sell to a Third Party. In addition, Forty Seven may refer potential Third Party customers to Lonza in respect of any such excess Assigned Capacity, provided that Lonza shall at all times have the sole and absolute discretion whether or not it decides to enter into discussions with such referred Third Party customers.</w:t>
      </w:r>
    </w:p>
    <w:p>
      <w:pPr>
        <w:spacing w:after="0" w:line="75" w:lineRule="exact"/>
        <w:rPr>
          <w:sz w:val="20"/>
          <w:szCs w:val="20"/>
          <w:color w:val="auto"/>
        </w:rPr>
      </w:pPr>
    </w:p>
    <w:p>
      <w:pPr>
        <w:ind w:left="1480" w:right="80" w:hanging="796"/>
        <w:spacing w:after="0" w:line="259" w:lineRule="auto"/>
        <w:tabs>
          <w:tab w:leader="none" w:pos="14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In the event that the parties agree any additional stages of work to be added to the Project Plan (“Additional Work”), the prices for such Additional Work shall be calculated based on Lonza’s standard pricing at the time of agreement on such Additional Work. Once the Additional Work has been added into this Agreement, the pricing for such Additional Work shall be subject to review in accordance with the provisions of Clause 8.4.</w:t>
      </w:r>
    </w:p>
    <w:p>
      <w:pPr>
        <w:spacing w:after="0" w:line="92" w:lineRule="exact"/>
        <w:rPr>
          <w:sz w:val="20"/>
          <w:szCs w:val="20"/>
          <w:color w:val="auto"/>
        </w:rPr>
      </w:pPr>
    </w:p>
    <w:p>
      <w:pPr>
        <w:ind w:left="1480" w:right="20" w:hanging="796"/>
        <w:spacing w:after="0" w:line="264" w:lineRule="auto"/>
        <w:tabs>
          <w:tab w:leader="none" w:pos="146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u w:val="single" w:color="auto"/>
          <w:color w:val="auto"/>
        </w:rPr>
        <w:t>Scale Up</w:t>
      </w:r>
      <w:r>
        <w:rPr>
          <w:rFonts w:ascii="Arial" w:cs="Arial" w:eastAsia="Arial" w:hAnsi="Arial"/>
          <w:sz w:val="18"/>
          <w:szCs w:val="18"/>
          <w:color w:val="auto"/>
        </w:rPr>
        <w:t>: lf Forty Seven is able to secure a minimum of [*] scale manufacturing cGMP Batch with Lonza (subject to availability)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through contractually binding commitment then Lonza will release Forty Seven for [*] and the [*]; provided that a notice for such change must be given by Forty Seven at least [*].</w:t>
      </w:r>
    </w:p>
    <w:p>
      <w:pPr>
        <w:spacing w:after="0" w:line="326" w:lineRule="exact"/>
        <w:rPr>
          <w:sz w:val="20"/>
          <w:szCs w:val="20"/>
          <w:color w:val="auto"/>
        </w:rPr>
      </w:pPr>
    </w:p>
    <w:p>
      <w:pPr>
        <w:ind w:left="680" w:hanging="672"/>
        <w:spacing w:after="0"/>
        <w:tabs>
          <w:tab w:leader="none" w:pos="680"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Acceptance</w:t>
      </w:r>
    </w:p>
    <w:p>
      <w:pPr>
        <w:spacing w:after="0" w:line="134" w:lineRule="exact"/>
        <w:rPr>
          <w:rFonts w:ascii="Arial" w:cs="Arial" w:eastAsia="Arial" w:hAnsi="Arial"/>
          <w:sz w:val="18"/>
          <w:szCs w:val="18"/>
          <w:b w:val="1"/>
          <w:bCs w:val="1"/>
          <w:color w:val="auto"/>
        </w:rPr>
      </w:pPr>
    </w:p>
    <w:p>
      <w:pPr>
        <w:ind w:left="1480" w:right="300" w:hanging="797"/>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6"/>
          <w:szCs w:val="16"/>
          <w:u w:val="single" w:color="auto"/>
          <w:color w:val="auto"/>
        </w:rPr>
        <w:t>Delivery</w:t>
      </w:r>
      <w:r>
        <w:rPr>
          <w:rFonts w:ascii="Arial" w:cs="Arial" w:eastAsia="Arial" w:hAnsi="Arial"/>
          <w:sz w:val="16"/>
          <w:szCs w:val="16"/>
          <w:color w:val="auto"/>
        </w:rPr>
        <w:t>. All Product shall be delivered [*] (as defined by lncoterms@2010) [*]. Lonza shall deliver to Forty Seven the Certificate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Analysis, the Certificate of Compliance and such other documentation as is reasonably required to meet all applicable regulatory requirements of the Governmental Authorities not later than the date of delivery of Batches (the “Release”). With respect to any Forty Seven Materials title and risk of loss shall [*] and with respect to the Product, title and risk of loss shall transfer to Forty Seven upon Release in accordance with this provision. For the avoidance of doubt, shipping or transportation of the Products, whether or not any arrangements are made by Lonza on behalf of the Forty Seven, shall be made at the sole risk and expense of the Forty Seven.</w:t>
      </w:r>
    </w:p>
    <w:p>
      <w:pPr>
        <w:spacing w:after="0" w:line="70"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5"/>
          <w:szCs w:val="15"/>
          <w:u w:val="single" w:color="auto"/>
          <w:color w:val="auto"/>
        </w:rPr>
        <w:t>Storage</w:t>
      </w:r>
      <w:r>
        <w:rPr>
          <w:rFonts w:ascii="Arial" w:cs="Arial" w:eastAsia="Arial" w:hAnsi="Arial"/>
          <w:sz w:val="15"/>
          <w:szCs w:val="15"/>
          <w:color w:val="auto"/>
        </w:rPr>
        <w:t>.</w:t>
      </w:r>
    </w:p>
    <w:p>
      <w:pPr>
        <w:spacing w:after="0" w:line="131" w:lineRule="exact"/>
        <w:rPr>
          <w:sz w:val="20"/>
          <w:szCs w:val="20"/>
          <w:color w:val="auto"/>
        </w:rPr>
      </w:pPr>
    </w:p>
    <w:p>
      <w:pPr>
        <w:ind w:left="2160" w:right="140" w:hanging="674"/>
        <w:spacing w:after="0" w:line="297" w:lineRule="auto"/>
        <w:tabs>
          <w:tab w:leader="none" w:pos="214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Forty Seven shall arrange for shipment and take delivery of each Batch from the Facility, at Forty Seven’s expense, within [*] days after Release or pay applicable storage costs. Lonza shall provide storage on a bill and hold basis for such Batch(es) at no charge for up to [*] days; provided that any additional storage beyond [*] days will be subject to availability and, if available, will be charged to Forty Seven and will be subject to a separate agreement. ln addition to clause 8.2, Forty Seven shall be responsible for all value added tax (VAT) and any other applicable taxes, levies, import, duties and fees of</w:t>
      </w:r>
    </w:p>
    <w:p>
      <w:pPr>
        <w:spacing w:after="0" w:line="91" w:lineRule="exact"/>
        <w:rPr>
          <w:sz w:val="20"/>
          <w:szCs w:val="20"/>
          <w:color w:val="auto"/>
        </w:rPr>
      </w:pPr>
    </w:p>
    <w:p>
      <w:pPr>
        <w:ind w:right="740" w:firstLine="8"/>
        <w:spacing w:after="0" w:line="277" w:lineRule="auto"/>
        <w:tabs>
          <w:tab w:leader="none" w:pos="255" w:val="left"/>
        </w:tabs>
        <w:numPr>
          <w:ilvl w:val="0"/>
          <w:numId w:val="48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81" w:right="239"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6">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2160" w:right="200"/>
        <w:spacing w:after="0" w:line="279" w:lineRule="auto"/>
        <w:rPr>
          <w:sz w:val="20"/>
          <w:szCs w:val="20"/>
          <w:color w:val="auto"/>
        </w:rPr>
      </w:pPr>
      <w:r>
        <w:rPr>
          <w:rFonts w:ascii="Arial" w:cs="Arial" w:eastAsia="Arial" w:hAnsi="Arial"/>
          <w:sz w:val="17"/>
          <w:szCs w:val="17"/>
          <w:color w:val="auto"/>
        </w:rPr>
        <w:t>whatever nature imposed as a result of any storage (other than taxes on Lonza’s income). Notwithstanding anything to the contrary contained in this Agreement, in no event shall Lonza be required to store any Batch for more than [*] calendar days after Release. Within [*] days following a written request from Lonza, Forty Seven shall provide Lonza with a letter in form satisfactory to Lonza confirming the bill and hold status of each stored Batch.</w:t>
      </w:r>
    </w:p>
    <w:p>
      <w:pPr>
        <w:spacing w:after="0" w:line="77" w:lineRule="exact"/>
        <w:rPr>
          <w:sz w:val="20"/>
          <w:szCs w:val="20"/>
          <w:color w:val="auto"/>
        </w:rPr>
      </w:pPr>
    </w:p>
    <w:p>
      <w:pPr>
        <w:ind w:left="2160" w:hanging="674"/>
        <w:spacing w:after="0" w:line="279" w:lineRule="auto"/>
        <w:tabs>
          <w:tab w:leader="none" w:pos="214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7"/>
          <w:szCs w:val="17"/>
          <w:color w:val="auto"/>
        </w:rPr>
        <w:t>The Products shall be stored by Lonza at Lonza’s premises in accordance with Lonza’s standard operating procedures, subject always to audit by Forty Seven in accordance with the Quality Agreement, and clause 7.2.1. Lonza shall keep all such Products and Forty Seven Materials free of all security interests, liens and other encumbrances and Lonza shall retain control thereof and shall not transfer the same to any Third Party unless otherwise agreed in writing by the Parties.</w:t>
      </w:r>
    </w:p>
    <w:p>
      <w:pPr>
        <w:spacing w:after="0" w:line="77"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Acceptance/Rejection of Product</w:t>
      </w:r>
      <w:r>
        <w:rPr>
          <w:rFonts w:ascii="Arial" w:cs="Arial" w:eastAsia="Arial" w:hAnsi="Arial"/>
          <w:sz w:val="16"/>
          <w:szCs w:val="16"/>
          <w:color w:val="auto"/>
        </w:rPr>
        <w:t>.</w:t>
      </w:r>
    </w:p>
    <w:p>
      <w:pPr>
        <w:spacing w:after="0" w:line="131" w:lineRule="exact"/>
        <w:rPr>
          <w:sz w:val="20"/>
          <w:szCs w:val="20"/>
          <w:color w:val="auto"/>
        </w:rPr>
      </w:pPr>
    </w:p>
    <w:p>
      <w:pPr>
        <w:ind w:left="2160" w:right="140" w:hanging="674"/>
        <w:spacing w:after="0" w:line="293" w:lineRule="auto"/>
        <w:tabs>
          <w:tab w:leader="none" w:pos="214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6"/>
          <w:szCs w:val="16"/>
          <w:color w:val="auto"/>
        </w:rPr>
        <w:t>Promptly following Release of cGMP Batches, Forty Seven shall inspect such cGMP Batches and shall have the right to test such Batches to determine compliance with the Specifications. Forty Seven shall notify Lonza in writing of any rejection of a cGMP Batch based on any claim that it fails to meet Specifications within [*] days of Release, after which time all unrejected cGMP Batches shall be deemed accepted, subject to Forty Seven’s right to reject any cGMP Batch for latent defects set out in this clause 7.3.1. Forty Seven shall inform Lonza in writing in case of latent defects (i.e. not discovered by routine quality control means), promptly upon discovery of such defects but no later than [*] after delivery of the Product.</w:t>
      </w:r>
    </w:p>
    <w:p>
      <w:pPr>
        <w:spacing w:after="0" w:line="70" w:lineRule="exact"/>
        <w:rPr>
          <w:sz w:val="20"/>
          <w:szCs w:val="20"/>
          <w:color w:val="auto"/>
        </w:rPr>
      </w:pPr>
    </w:p>
    <w:p>
      <w:pPr>
        <w:ind w:left="2160" w:right="20" w:hanging="674"/>
        <w:spacing w:after="0" w:line="268" w:lineRule="auto"/>
        <w:tabs>
          <w:tab w:leader="none" w:pos="214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7"/>
          <w:szCs w:val="17"/>
          <w:color w:val="auto"/>
        </w:rPr>
        <w:t>ln the event that Lonza believes that a cGMP Batch has been incorrectly rejected by Forty Seven, Lonza must notify Forty Seven in writing within [*] days (such notice, the “Dispute Notice”) and Lonza may require that Forty Seven provide to it cGMP Batch samples for testing. Lonza may retain and test the samples of such cGMP Batch. ln the event of a discrepancy between Forty Seven’s and Lonza’s test results such that Lonza’s test results determine that the cGMP Batch conforms with the Specifications, or there otherwise exists a dispute between the Parties over whether such cGMP Batch fails to conform to the Specifications or the extent to which such failure is attributable to a given Party, the Parties shall use good faith efforts to resolve any such discrepancy or dispute; provided that if such dispute cannot be settled within [*] days from the receipt of the Dispute Notice, then the Parties will submit a sample of the cGMP Batch to an independent laboratory and require the independent laboratory promptly to review records, test data and perform comparative tests and/or analyses on samples of the Product that allegedly fails to conform to Specifications. Such independent laboratory shall be mutually agreed upon by the Parties. The independent laboratory’s results shall be in writing and shall be final and binding save for manifest error. Unless otherwise agreed to by the Parties in writing, the costs associated with such testing and review shall be borne by the Party against whom the independent laboratory rules.</w:t>
      </w:r>
    </w:p>
    <w:p>
      <w:pPr>
        <w:spacing w:after="0" w:line="93" w:lineRule="exact"/>
        <w:rPr>
          <w:sz w:val="20"/>
          <w:szCs w:val="20"/>
          <w:color w:val="auto"/>
        </w:rPr>
      </w:pPr>
    </w:p>
    <w:p>
      <w:pPr>
        <w:ind w:left="2160" w:right="20" w:hanging="674"/>
        <w:spacing w:after="0" w:line="312" w:lineRule="auto"/>
        <w:tabs>
          <w:tab w:leader="none" w:pos="2140" w:val="left"/>
        </w:tabs>
        <w:rPr>
          <w:sz w:val="20"/>
          <w:szCs w:val="20"/>
          <w:color w:val="auto"/>
        </w:rPr>
      </w:pPr>
      <w:r>
        <w:rPr>
          <w:rFonts w:ascii="Arial" w:cs="Arial" w:eastAsia="Arial" w:hAnsi="Arial"/>
          <w:sz w:val="18"/>
          <w:szCs w:val="18"/>
          <w:color w:val="auto"/>
        </w:rPr>
        <w:t>7.3.3</w:t>
      </w:r>
      <w:r>
        <w:rPr>
          <w:sz w:val="20"/>
          <w:szCs w:val="20"/>
          <w:color w:val="auto"/>
        </w:rPr>
        <w:tab/>
      </w:r>
      <w:r>
        <w:rPr>
          <w:rFonts w:ascii="Arial" w:cs="Arial" w:eastAsia="Arial" w:hAnsi="Arial"/>
          <w:sz w:val="16"/>
          <w:szCs w:val="16"/>
          <w:color w:val="auto"/>
        </w:rPr>
        <w:t>Subject to clause 2.2, in the event that it is determined (by the Parties or the independent laboratory) that any cGMP Batch failed to conform with the Specifications (each a “Failed Batch”) and such failure was [*] (“Lonza Responsibility”) then Lonza shall replace such Failed Batch at its sole cost and expense, including bearing the cost of obtaining any Raw Material, Resin or</w:t>
      </w:r>
    </w:p>
    <w:p>
      <w:pPr>
        <w:spacing w:after="0" w:line="79" w:lineRule="exact"/>
        <w:rPr>
          <w:sz w:val="20"/>
          <w:szCs w:val="20"/>
          <w:color w:val="auto"/>
        </w:rPr>
      </w:pPr>
    </w:p>
    <w:p>
      <w:pPr>
        <w:ind w:right="660" w:firstLine="8"/>
        <w:spacing w:after="0" w:line="277" w:lineRule="auto"/>
        <w:tabs>
          <w:tab w:leader="none" w:pos="255"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881" w:right="319" w:bottom="1440" w:gutter="0" w:footer="0" w:header="0"/>
        </w:sectPr>
      </w:pPr>
    </w:p>
    <w:bookmarkStart w:id="417" w:name="page418"/>
    <w:bookmarkEnd w:id="4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2160" w:right="60"/>
        <w:spacing w:after="0" w:line="255" w:lineRule="auto"/>
        <w:rPr>
          <w:sz w:val="20"/>
          <w:szCs w:val="20"/>
          <w:color w:val="auto"/>
        </w:rPr>
      </w:pPr>
      <w:r>
        <w:rPr>
          <w:rFonts w:ascii="Arial" w:cs="Arial" w:eastAsia="Arial" w:hAnsi="Arial"/>
          <w:sz w:val="18"/>
          <w:szCs w:val="18"/>
          <w:color w:val="auto"/>
        </w:rPr>
        <w:t>other material required for the manufacture of such replacement cGMP Batch. Such replacement shall be made as promptly as practicable, subject to available manufacturing capacity after the confirmation of Lonza Responsibility and in any case as soon as reasonably possible after confirmation of Lonza Responsibility. [*] acknowledges and agrees that [*] with respect to a Failed Batch that is a Lonza Responsibility [*], and in furtherance thereof, [*]. Lonza shall not be responsible for the cost of Raw Materials or Forty Seven Materials consumed in any Batch which failed to meet Specifications except to the extent set forth in this Clause 7.3.3.</w:t>
      </w:r>
    </w:p>
    <w:p>
      <w:pPr>
        <w:spacing w:after="0" w:line="338" w:lineRule="exact"/>
        <w:rPr>
          <w:sz w:val="20"/>
          <w:szCs w:val="20"/>
          <w:color w:val="auto"/>
        </w:rPr>
      </w:pPr>
    </w:p>
    <w:p>
      <w:pPr>
        <w:ind w:left="680" w:hanging="672"/>
        <w:spacing w:after="0"/>
        <w:tabs>
          <w:tab w:leader="none" w:pos="680"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Price and Payment</w:t>
      </w:r>
    </w:p>
    <w:p>
      <w:pPr>
        <w:spacing w:after="0" w:line="134" w:lineRule="exact"/>
        <w:rPr>
          <w:rFonts w:ascii="Arial" w:cs="Arial" w:eastAsia="Arial" w:hAnsi="Arial"/>
          <w:sz w:val="18"/>
          <w:szCs w:val="18"/>
          <w:b w:val="1"/>
          <w:bCs w:val="1"/>
          <w:color w:val="auto"/>
        </w:rPr>
      </w:pPr>
    </w:p>
    <w:p>
      <w:pPr>
        <w:ind w:left="1480" w:right="20" w:hanging="79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Signature Fee and Suite Fee</w:t>
      </w:r>
      <w:r>
        <w:rPr>
          <w:rFonts w:ascii="Arial" w:cs="Arial" w:eastAsia="Arial" w:hAnsi="Arial"/>
          <w:sz w:val="18"/>
          <w:szCs w:val="18"/>
          <w:color w:val="auto"/>
        </w:rPr>
        <w:t>. Forty Seven shall pay a non-refundable signature fee of [*] upon signing this Agreement (“Signature Fee”).</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addition to the Signature Fee, Forty Seven shall pay Lonza an annual Suite Fee of [*]. Except as set forth under this Agreement, the Suite Fee is payable in full regardless of utilization by Forty Seven and the Suite Fee shall not be reduced or refunded if Forty Seven does not make full use of the Assigned Capacity.</w:t>
      </w:r>
    </w:p>
    <w:p>
      <w:pPr>
        <w:spacing w:after="0" w:line="92" w:lineRule="exact"/>
        <w:rPr>
          <w:rFonts w:ascii="Arial" w:cs="Arial" w:eastAsia="Arial" w:hAnsi="Arial"/>
          <w:sz w:val="18"/>
          <w:szCs w:val="18"/>
          <w:b w:val="1"/>
          <w:bCs w:val="1"/>
          <w:color w:val="auto"/>
        </w:rPr>
      </w:pPr>
    </w:p>
    <w:p>
      <w:pPr>
        <w:ind w:left="1480" w:right="120" w:hanging="79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8.2</w:t>
      </w:r>
      <w:r>
        <w:rPr>
          <w:rFonts w:ascii="Arial" w:cs="Arial" w:eastAsia="Arial" w:hAnsi="Arial"/>
          <w:sz w:val="18"/>
          <w:szCs w:val="18"/>
          <w:u w:val="single" w:color="auto"/>
          <w:color w:val="auto"/>
        </w:rPr>
        <w:t>Other Services</w:t>
      </w:r>
      <w:r>
        <w:rPr>
          <w:rFonts w:ascii="Arial" w:cs="Arial" w:eastAsia="Arial" w:hAnsi="Arial"/>
          <w:sz w:val="18"/>
          <w:szCs w:val="18"/>
          <w:color w:val="auto"/>
        </w:rPr>
        <w:t>. ln addition to Clause 8.1, pricing for the Services (other than the manufacture of Batches within the Assigned Capacity)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provided by Lonza are set out in, and based on the assumptions and information set out in, the applicable Project Plan. In the event of changes to the Services based on Forty Seven’s request which result in additional costs, the Parties shall execute a written amendment to this Agreement.</w:t>
      </w:r>
    </w:p>
    <w:p>
      <w:pPr>
        <w:spacing w:after="0" w:line="92" w:lineRule="exact"/>
        <w:rPr>
          <w:rFonts w:ascii="Arial" w:cs="Arial" w:eastAsia="Arial" w:hAnsi="Arial"/>
          <w:sz w:val="18"/>
          <w:szCs w:val="18"/>
          <w:b w:val="1"/>
          <w:bCs w:val="1"/>
          <w:color w:val="auto"/>
        </w:rPr>
      </w:pPr>
    </w:p>
    <w:p>
      <w:pPr>
        <w:ind w:left="1480" w:right="180" w:hanging="797"/>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8.3</w:t>
      </w:r>
      <w:r>
        <w:rPr>
          <w:rFonts w:ascii="Arial" w:cs="Arial" w:eastAsia="Arial" w:hAnsi="Arial"/>
          <w:sz w:val="17"/>
          <w:szCs w:val="17"/>
          <w:u w:val="single" w:color="auto"/>
          <w:color w:val="auto"/>
        </w:rPr>
        <w:t>Raw Materials, Resins, Raw Materials Fees and Safety Stock</w:t>
      </w:r>
      <w:r>
        <w:rPr>
          <w:rFonts w:ascii="Arial" w:cs="Arial" w:eastAsia="Arial" w:hAnsi="Arial"/>
          <w:sz w:val="17"/>
          <w:szCs w:val="17"/>
          <w:color w:val="auto"/>
        </w:rPr>
        <w:t>. In addition to the Suite Fee in accordance with Clause 8.1, and the prices</w:t>
      </w:r>
      <w:r>
        <w:rPr>
          <w:rFonts w:ascii="Arial" w:cs="Arial" w:eastAsia="Arial" w:hAnsi="Arial"/>
          <w:sz w:val="17"/>
          <w:szCs w:val="17"/>
          <w:u w:val="single" w:color="auto"/>
          <w:color w:val="auto"/>
        </w:rPr>
        <w:t xml:space="preserve"> </w:t>
      </w:r>
      <w:r>
        <w:rPr>
          <w:rFonts w:ascii="Arial" w:cs="Arial" w:eastAsia="Arial" w:hAnsi="Arial"/>
          <w:sz w:val="17"/>
          <w:szCs w:val="17"/>
          <w:color w:val="auto"/>
        </w:rPr>
        <w:t>payable under Clause 8.2, Forty Seven shall pay for all Raw Materials, Resins, Safety Stock and the Raw Materials Fee.</w:t>
      </w:r>
    </w:p>
    <w:p>
      <w:pPr>
        <w:spacing w:after="0" w:line="52" w:lineRule="exact"/>
        <w:rPr>
          <w:sz w:val="20"/>
          <w:szCs w:val="20"/>
          <w:color w:val="auto"/>
        </w:rPr>
      </w:pPr>
    </w:p>
    <w:p>
      <w:pPr>
        <w:ind w:left="1480" w:right="20" w:hanging="796"/>
        <w:spacing w:after="0" w:line="279" w:lineRule="auto"/>
        <w:tabs>
          <w:tab w:leader="none" w:pos="14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Unless otherwise indicated in writing by Lonza, all Prices and charges are exclusive of value added tax (VAT) and of any other applicable taxes, levies, import, duties and fees of whatever nature imposed by or under the authority of any government or public authority and all such charges applicable to the Services (other than taxes on Lonza’s income) shall be paid by Forty Seven. When sending payment to Lonza, the Forty Seven shall quote the relevant invoice number in its remittance advice.</w:t>
      </w:r>
    </w:p>
    <w:p>
      <w:pPr>
        <w:spacing w:after="0" w:line="77"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5"/>
          <w:szCs w:val="15"/>
          <w:u w:val="single" w:color="auto"/>
          <w:color w:val="auto"/>
        </w:rPr>
        <w:t>Payment Terms</w:t>
      </w:r>
      <w:r>
        <w:rPr>
          <w:rFonts w:ascii="Arial" w:cs="Arial" w:eastAsia="Arial" w:hAnsi="Arial"/>
          <w:sz w:val="15"/>
          <w:szCs w:val="15"/>
          <w:color w:val="auto"/>
        </w:rPr>
        <w:t>.</w:t>
      </w:r>
    </w:p>
    <w:p>
      <w:pPr>
        <w:spacing w:after="0" w:line="131" w:lineRule="exact"/>
        <w:rPr>
          <w:sz w:val="20"/>
          <w:szCs w:val="20"/>
          <w:color w:val="auto"/>
        </w:rPr>
      </w:pPr>
    </w:p>
    <w:p>
      <w:pPr>
        <w:ind w:left="2160" w:hanging="674"/>
        <w:spacing w:after="0" w:line="259" w:lineRule="auto"/>
        <w:tabs>
          <w:tab w:leader="none" w:pos="2140" w:val="left"/>
        </w:tabs>
        <w:rPr>
          <w:sz w:val="20"/>
          <w:szCs w:val="20"/>
          <w:color w:val="auto"/>
        </w:rPr>
      </w:pPr>
      <w:r>
        <w:rPr>
          <w:rFonts w:ascii="Arial" w:cs="Arial" w:eastAsia="Arial" w:hAnsi="Arial"/>
          <w:sz w:val="18"/>
          <w:szCs w:val="18"/>
          <w:color w:val="auto"/>
        </w:rPr>
        <w:t>8.5.1</w:t>
      </w:r>
      <w:r>
        <w:rPr>
          <w:sz w:val="20"/>
          <w:szCs w:val="20"/>
          <w:color w:val="auto"/>
        </w:rPr>
        <w:tab/>
      </w:r>
      <w:r>
        <w:rPr>
          <w:rFonts w:ascii="Arial" w:cs="Arial" w:eastAsia="Arial" w:hAnsi="Arial"/>
          <w:sz w:val="18"/>
          <w:szCs w:val="18"/>
          <w:u w:val="single" w:color="auto"/>
          <w:color w:val="auto"/>
        </w:rPr>
        <w:t>Signature Fee and Suite Fee</w:t>
      </w:r>
      <w:r>
        <w:rPr>
          <w:rFonts w:ascii="Arial" w:cs="Arial" w:eastAsia="Arial" w:hAnsi="Arial"/>
          <w:sz w:val="18"/>
          <w:szCs w:val="18"/>
          <w:color w:val="auto"/>
        </w:rPr>
        <w:t>. The Signature Fee shall be immediately payable by the Forty Seven upon signing this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Suite Fee shall be payable in [*] instalments each year, with the first payment due on [*] and the second payment due on [*] and thereafter payable [*] during the Term. Subject to clause 14, Forty Seven will pay the Suite Fee to Lonza for the Term of this Agreement.</w:t>
      </w:r>
    </w:p>
    <w:p>
      <w:pPr>
        <w:spacing w:after="0" w:line="92" w:lineRule="exact"/>
        <w:rPr>
          <w:sz w:val="20"/>
          <w:szCs w:val="20"/>
          <w:color w:val="auto"/>
        </w:rPr>
      </w:pPr>
    </w:p>
    <w:p>
      <w:pPr>
        <w:ind w:left="2160" w:right="80" w:hanging="674"/>
        <w:spacing w:after="0" w:line="259" w:lineRule="auto"/>
        <w:tabs>
          <w:tab w:leader="none" w:pos="2140" w:val="left"/>
        </w:tabs>
        <w:rPr>
          <w:sz w:val="20"/>
          <w:szCs w:val="20"/>
          <w:color w:val="auto"/>
        </w:rPr>
      </w:pPr>
      <w:r>
        <w:rPr>
          <w:rFonts w:ascii="Arial" w:cs="Arial" w:eastAsia="Arial" w:hAnsi="Arial"/>
          <w:sz w:val="18"/>
          <w:szCs w:val="18"/>
          <w:color w:val="auto"/>
        </w:rPr>
        <w:t>8.5.2</w:t>
      </w:r>
      <w:r>
        <w:rPr>
          <w:sz w:val="20"/>
          <w:szCs w:val="20"/>
          <w:color w:val="auto"/>
        </w:rPr>
        <w:tab/>
      </w:r>
      <w:r>
        <w:rPr>
          <w:rFonts w:ascii="Arial" w:cs="Arial" w:eastAsia="Arial" w:hAnsi="Arial"/>
          <w:sz w:val="18"/>
          <w:szCs w:val="18"/>
          <w:u w:val="single" w:color="auto"/>
          <w:color w:val="auto"/>
        </w:rPr>
        <w:t>Raw Materials and Raw Materials Fee</w:t>
      </w:r>
      <w:r>
        <w:rPr>
          <w:rFonts w:ascii="Arial" w:cs="Arial" w:eastAsia="Arial" w:hAnsi="Arial"/>
          <w:sz w:val="18"/>
          <w:szCs w:val="18"/>
          <w:color w:val="auto"/>
        </w:rPr>
        <w:t>. Lonza’s Cost for Raw Materials and the Raw Materials Fee for each Batch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invoiced upon the Release of each such Batch. Lonza will provide a list of the Raw Materials and the unit price reflecting Lonza’s Cost for each component of the Raw Materials (excluding any Lonza Intellectual Property). Resins shall be invoiced at Lonza’s Cost for such Resins [*].</w:t>
      </w:r>
    </w:p>
    <w:p>
      <w:pPr>
        <w:spacing w:after="0" w:line="119" w:lineRule="exact"/>
        <w:rPr>
          <w:sz w:val="20"/>
          <w:szCs w:val="20"/>
          <w:color w:val="auto"/>
        </w:rPr>
      </w:pPr>
    </w:p>
    <w:p>
      <w:pPr>
        <w:ind w:right="740" w:firstLine="8"/>
        <w:spacing w:after="0" w:line="277" w:lineRule="auto"/>
        <w:tabs>
          <w:tab w:leader="none" w:pos="25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81" w:right="23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0">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2160" w:right="500" w:hanging="674"/>
        <w:spacing w:after="0" w:line="277" w:lineRule="auto"/>
        <w:tabs>
          <w:tab w:leader="none" w:pos="2140" w:val="left"/>
        </w:tabs>
        <w:rPr>
          <w:sz w:val="20"/>
          <w:szCs w:val="20"/>
          <w:color w:val="auto"/>
        </w:rPr>
      </w:pPr>
      <w:r>
        <w:rPr>
          <w:rFonts w:ascii="Arial" w:cs="Arial" w:eastAsia="Arial" w:hAnsi="Arial"/>
          <w:sz w:val="18"/>
          <w:szCs w:val="18"/>
          <w:color w:val="auto"/>
        </w:rPr>
        <w:t>8.5.3</w:t>
      </w:r>
      <w:r>
        <w:rPr>
          <w:sz w:val="20"/>
          <w:szCs w:val="20"/>
          <w:color w:val="auto"/>
        </w:rPr>
        <w:tab/>
      </w:r>
      <w:r>
        <w:rPr>
          <w:rFonts w:ascii="Arial" w:cs="Arial" w:eastAsia="Arial" w:hAnsi="Arial"/>
          <w:sz w:val="18"/>
          <w:szCs w:val="18"/>
          <w:color w:val="auto"/>
        </w:rPr>
        <w:t>All invoices are strictly net and payment must be made within [*] days of date of invoice. Payment shall be made without deduction, deferment, set-off, lien or counterclaim.</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lf in default of payment of any undisputed invoice on the due date, interest shall accrue on any amount overdue at the lesser of (i) rate of</w:t>
      </w:r>
    </w:p>
    <w:p>
      <w:pPr>
        <w:spacing w:after="0" w:line="23" w:lineRule="exact"/>
        <w:rPr>
          <w:sz w:val="20"/>
          <w:szCs w:val="20"/>
          <w:color w:val="auto"/>
        </w:rPr>
      </w:pPr>
    </w:p>
    <w:p>
      <w:pPr>
        <w:jc w:val="both"/>
        <w:ind w:left="1480" w:right="100"/>
        <w:spacing w:after="0" w:line="254" w:lineRule="auto"/>
        <w:tabs>
          <w:tab w:leader="none" w:pos="1735" w:val="left"/>
        </w:tabs>
        <w:numPr>
          <w:ilvl w:val="0"/>
          <w:numId w:val="491"/>
        </w:numPr>
        <w:rPr>
          <w:rFonts w:ascii="Arial" w:cs="Arial" w:eastAsia="Arial" w:hAnsi="Arial"/>
          <w:sz w:val="18"/>
          <w:szCs w:val="18"/>
          <w:color w:val="auto"/>
        </w:rPr>
      </w:pPr>
      <w:r>
        <w:rPr>
          <w:rFonts w:ascii="Arial" w:cs="Arial" w:eastAsia="Arial" w:hAnsi="Arial"/>
          <w:sz w:val="18"/>
          <w:szCs w:val="18"/>
          <w:color w:val="auto"/>
        </w:rPr>
        <w:t>above the London Interbank Offered Rate (LIBOR) or (ii) the maximum rate allowable by applicable law, interest to accrue on a day to day basis until full payment; and Lonza shall, at its sole discretion, and without prejudice to any other of its accrued rights, be entitled to suspend the provision of the Services and or delivery of Product until all overdue amounts have been paid in full including interest for late payments.</w:t>
      </w:r>
    </w:p>
    <w:p>
      <w:pPr>
        <w:spacing w:after="0" w:line="95" w:lineRule="exact"/>
        <w:rPr>
          <w:sz w:val="20"/>
          <w:szCs w:val="20"/>
          <w:color w:val="auto"/>
        </w:rPr>
      </w:pPr>
    </w:p>
    <w:p>
      <w:pPr>
        <w:ind w:left="2160" w:right="80" w:hanging="674"/>
        <w:spacing w:after="0" w:line="257" w:lineRule="auto"/>
        <w:tabs>
          <w:tab w:leader="none" w:pos="214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8"/>
          <w:szCs w:val="18"/>
          <w:u w:val="single" w:color="auto"/>
          <w:color w:val="auto"/>
        </w:rPr>
        <w:t>Price adjustments</w:t>
      </w:r>
      <w:r>
        <w:rPr>
          <w:rFonts w:ascii="Arial" w:cs="Arial" w:eastAsia="Arial" w:hAnsi="Arial"/>
          <w:sz w:val="18"/>
          <w:szCs w:val="18"/>
          <w:color w:val="auto"/>
        </w:rPr>
        <w:t>. Not more than once per calendar year and with effect from [*], Lonza may adjust the Price for Services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accordance with [*] based upon any change in the index from the previous calendar year or increase the Price by [*], by providing Forty Seven [*] days prior written notice of such adjustment. The new Price reflecting such Price adjustment shall be effective for any Services and/or Batch for which the Commencement Date is on or after the effective date of Lonza’s notice to Forty Seven of the Price adjustment.</w:t>
      </w:r>
    </w:p>
    <w:p>
      <w:pPr>
        <w:spacing w:after="0" w:line="94" w:lineRule="exact"/>
        <w:rPr>
          <w:sz w:val="20"/>
          <w:szCs w:val="20"/>
          <w:color w:val="auto"/>
        </w:rPr>
      </w:pPr>
    </w:p>
    <w:p>
      <w:pPr>
        <w:ind w:left="2160" w:hanging="674"/>
        <w:spacing w:after="0" w:line="273" w:lineRule="auto"/>
        <w:tabs>
          <w:tab w:leader="none" w:pos="2140" w:val="left"/>
        </w:tabs>
        <w:rPr>
          <w:sz w:val="20"/>
          <w:szCs w:val="20"/>
          <w:color w:val="auto"/>
        </w:rPr>
      </w:pPr>
      <w:r>
        <w:rPr>
          <w:rFonts w:ascii="Arial" w:cs="Arial" w:eastAsia="Arial" w:hAnsi="Arial"/>
          <w:sz w:val="18"/>
          <w:szCs w:val="18"/>
          <w:color w:val="auto"/>
        </w:rPr>
        <w:t>8.6.2</w:t>
      </w:r>
      <w:r>
        <w:rPr>
          <w:sz w:val="20"/>
          <w:szCs w:val="20"/>
          <w:color w:val="auto"/>
        </w:rPr>
        <w:tab/>
      </w:r>
      <w:r>
        <w:rPr>
          <w:rFonts w:ascii="Arial" w:cs="Arial" w:eastAsia="Arial" w:hAnsi="Arial"/>
          <w:sz w:val="17"/>
          <w:szCs w:val="17"/>
          <w:color w:val="auto"/>
        </w:rPr>
        <w:t>ln addition to the above, the Price may be changed by Lonza not more than once per calendar year, upon prior written notice to Forty Seven (providing reasonable detail in support thereof), to reflect an increase of more than [*] (based on the initial Price or any previously amended Price) in Lonza’s costs to manufacture the Product (other than any change in the cost of Raw Materials), including any change in an environmental, safety or regulatory standard that is outside of Lonza’s control and substantially impacts Lonza’s cost and ability to perform the Services. Notwithstanding the foregoing, in no event shall the Price be increased by more than [*] for the purposes of this clause 8.6.2 in any calendar year.</w:t>
      </w:r>
    </w:p>
    <w:p>
      <w:pPr>
        <w:spacing w:after="0" w:line="323" w:lineRule="exact"/>
        <w:rPr>
          <w:sz w:val="20"/>
          <w:szCs w:val="20"/>
          <w:color w:val="auto"/>
        </w:rPr>
      </w:pPr>
    </w:p>
    <w:p>
      <w:pPr>
        <w:ind w:left="680" w:hanging="672"/>
        <w:spacing w:after="0"/>
        <w:tabs>
          <w:tab w:leader="none" w:pos="680"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130" w:lineRule="exact"/>
        <w:rPr>
          <w:rFonts w:ascii="Arial" w:cs="Arial" w:eastAsia="Arial" w:hAnsi="Arial"/>
          <w:sz w:val="18"/>
          <w:szCs w:val="18"/>
          <w:b w:val="1"/>
          <w:bCs w:val="1"/>
          <w:color w:val="auto"/>
        </w:rPr>
      </w:pPr>
    </w:p>
    <w:p>
      <w:pPr>
        <w:ind w:left="680" w:hanging="672"/>
        <w:spacing w:after="0"/>
        <w:tabs>
          <w:tab w:leader="none" w:pos="680"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134" w:lineRule="exact"/>
        <w:rPr>
          <w:rFonts w:ascii="Arial" w:cs="Arial" w:eastAsia="Arial" w:hAnsi="Arial"/>
          <w:sz w:val="18"/>
          <w:szCs w:val="18"/>
          <w:b w:val="1"/>
          <w:bCs w:val="1"/>
          <w:color w:val="auto"/>
        </w:rPr>
      </w:pPr>
    </w:p>
    <w:p>
      <w:pPr>
        <w:ind w:left="1480" w:right="100" w:hanging="797"/>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10.1</w:t>
      </w:r>
      <w:r>
        <w:rPr>
          <w:rFonts w:ascii="Arial" w:cs="Arial" w:eastAsia="Arial" w:hAnsi="Arial"/>
          <w:sz w:val="18"/>
          <w:szCs w:val="18"/>
          <w:u w:val="single" w:color="auto"/>
          <w:color w:val="auto"/>
        </w:rPr>
        <w:t>Background Intellectual Property</w:t>
      </w:r>
      <w:r>
        <w:rPr>
          <w:rFonts w:ascii="Arial" w:cs="Arial" w:eastAsia="Arial" w:hAnsi="Arial"/>
          <w:sz w:val="18"/>
          <w:szCs w:val="18"/>
          <w:color w:val="auto"/>
        </w:rPr>
        <w:t>. Neither Party will, as a result of this Agreement, acquire any right, title, or interest in any Background</w:t>
      </w:r>
      <w:r>
        <w:rPr>
          <w:rFonts w:ascii="Arial" w:cs="Arial" w:eastAsia="Arial" w:hAnsi="Arial"/>
          <w:sz w:val="18"/>
          <w:szCs w:val="18"/>
          <w:u w:val="single" w:color="auto"/>
          <w:color w:val="auto"/>
        </w:rPr>
        <w:t xml:space="preserve"> </w:t>
      </w:r>
      <w:r>
        <w:rPr>
          <w:rFonts w:ascii="Arial" w:cs="Arial" w:eastAsia="Arial" w:hAnsi="Arial"/>
          <w:sz w:val="18"/>
          <w:szCs w:val="18"/>
          <w:color w:val="auto"/>
        </w:rPr>
        <w:t>Intellectual Property of the other Party or any of its Affiliates.</w:t>
      </w:r>
    </w:p>
    <w:p>
      <w:pPr>
        <w:spacing w:after="0" w:line="75" w:lineRule="exact"/>
        <w:rPr>
          <w:rFonts w:ascii="Arial" w:cs="Arial" w:eastAsia="Arial" w:hAnsi="Arial"/>
          <w:sz w:val="18"/>
          <w:szCs w:val="18"/>
          <w:b w:val="1"/>
          <w:bCs w:val="1"/>
          <w:color w:val="auto"/>
        </w:rPr>
      </w:pPr>
    </w:p>
    <w:p>
      <w:pPr>
        <w:ind w:left="1480" w:right="20" w:hanging="797"/>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10.2</w:t>
      </w:r>
      <w:r>
        <w:rPr>
          <w:rFonts w:ascii="Arial" w:cs="Arial" w:eastAsia="Arial" w:hAnsi="Arial"/>
          <w:sz w:val="16"/>
          <w:szCs w:val="16"/>
          <w:u w:val="single" w:color="auto"/>
          <w:color w:val="auto"/>
        </w:rPr>
        <w:t>New Forty Seven Intellectual Property</w:t>
      </w:r>
      <w:r>
        <w:rPr>
          <w:rFonts w:ascii="Arial" w:cs="Arial" w:eastAsia="Arial" w:hAnsi="Arial"/>
          <w:sz w:val="16"/>
          <w:szCs w:val="16"/>
          <w:color w:val="auto"/>
        </w:rPr>
        <w:t>. Subject to Clauses 10.1 and 10.3, Forty Seven shall own all right, title, and interest in and to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all Intellectual Property that Lonza and/or its Affiliates, the External Laboratories or other contractors or agents of Lonza develops, conceives, invents, first reduces to practice or makes, solely or jointly with Forty Seven or others as a result of the receipt of the Forty Seven Information, Forty Seven Materials and/or any Products (collectively, the “New Forty Seven Intellectual Property”). For avoidance of doubt, “New Forty Seven Intellectual Property” shall include any material, processes or other items that solely embody, or that solely are claimed or covered by, any of the foregoing Intellectual Property, but excluding any New General Application Intellectual Property. Lonza shall, and shall cause its Affiliates to, promptly disclose to Forty Seven in writing all New Forty Seven Intellectual Property.</w:t>
      </w:r>
    </w:p>
    <w:p>
      <w:pPr>
        <w:spacing w:after="0" w:line="72" w:lineRule="exact"/>
        <w:rPr>
          <w:rFonts w:ascii="Arial" w:cs="Arial" w:eastAsia="Arial" w:hAnsi="Arial"/>
          <w:sz w:val="18"/>
          <w:szCs w:val="18"/>
          <w:b w:val="1"/>
          <w:bCs w:val="1"/>
          <w:color w:val="auto"/>
        </w:rPr>
      </w:pPr>
    </w:p>
    <w:p>
      <w:pPr>
        <w:ind w:left="1480" w:right="360" w:hanging="797"/>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10.3</w:t>
      </w:r>
      <w:r>
        <w:rPr>
          <w:rFonts w:ascii="Arial" w:cs="Arial" w:eastAsia="Arial" w:hAnsi="Arial"/>
          <w:sz w:val="16"/>
          <w:szCs w:val="16"/>
          <w:u w:val="single" w:color="auto"/>
          <w:color w:val="auto"/>
        </w:rPr>
        <w:t>New General Application Intellectual Property</w:t>
      </w:r>
      <w:r>
        <w:rPr>
          <w:rFonts w:ascii="Arial" w:cs="Arial" w:eastAsia="Arial" w:hAnsi="Arial"/>
          <w:sz w:val="16"/>
          <w:szCs w:val="16"/>
          <w:color w:val="auto"/>
        </w:rPr>
        <w:t>. Notwithstanding clause 10.2 and subject to the license granted in Clause 10.5, Lonza</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shall own all right, title and interest in Intellectual Property that Lonza and/or its Affiliates, the External Laboratories or other</w:t>
      </w:r>
    </w:p>
    <w:p>
      <w:pPr>
        <w:spacing w:after="0" w:line="56" w:lineRule="exact"/>
        <w:rPr>
          <w:sz w:val="20"/>
          <w:szCs w:val="20"/>
          <w:color w:val="auto"/>
        </w:rPr>
      </w:pPr>
    </w:p>
    <w:p>
      <w:pPr>
        <w:ind w:right="740" w:firstLine="8"/>
        <w:spacing w:after="0" w:line="277" w:lineRule="auto"/>
        <w:tabs>
          <w:tab w:leader="none" w:pos="255"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82" w:right="239" w:bottom="1440" w:gutter="0" w:footer="0" w:header="0"/>
        </w:sectPr>
      </w:pPr>
    </w:p>
    <w:bookmarkStart w:id="419" w:name="page420"/>
    <w:bookmarkEnd w:id="4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2">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1480" w:right="60"/>
        <w:spacing w:after="0" w:line="272" w:lineRule="auto"/>
        <w:rPr>
          <w:sz w:val="20"/>
          <w:szCs w:val="20"/>
          <w:color w:val="auto"/>
        </w:rPr>
      </w:pPr>
      <w:r>
        <w:rPr>
          <w:rFonts w:ascii="Arial" w:cs="Arial" w:eastAsia="Arial" w:hAnsi="Arial"/>
          <w:sz w:val="17"/>
          <w:szCs w:val="17"/>
          <w:color w:val="auto"/>
        </w:rPr>
        <w:t>contractors or agents of Lonza, solely or jointly with Forty Seven, develops, conceives, invents, or first reduces to practice or makes in the course of performance of the Services (i) that is generally applicable to the development or manufacture of chemical or biological products or product components and not specific to the Product and the use or practice of which would not require the use or disclosure of Forty Seven Information, Forty Seven Materials or Forty Seven Background Intellectual Property or (ii) is an improvement of, or direct derivative of, any Lonza Background Intellectual Property and/or Lonza Information (collectively the “New General Application Intellectual Property”). For avoidance of doubt, “New General Application Intellectual Property” shall include any material, processes or other items that embody, or that are claimed or covered by, any of the foregoing Intellectual Property.</w:t>
      </w:r>
    </w:p>
    <w:p>
      <w:pPr>
        <w:spacing w:after="0" w:line="83" w:lineRule="exact"/>
        <w:rPr>
          <w:sz w:val="20"/>
          <w:szCs w:val="20"/>
          <w:color w:val="auto"/>
        </w:rPr>
      </w:pPr>
    </w:p>
    <w:p>
      <w:pPr>
        <w:ind w:left="1480" w:right="20" w:hanging="796"/>
        <w:spacing w:after="0" w:line="253" w:lineRule="auto"/>
        <w:tabs>
          <w:tab w:leader="none" w:pos="1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auto"/>
        </w:rPr>
        <w:t>Assignment of New Forty Seven Intellectual Property</w:t>
      </w:r>
      <w:r>
        <w:rPr>
          <w:rFonts w:ascii="Arial" w:cs="Arial" w:eastAsia="Arial" w:hAnsi="Arial"/>
          <w:sz w:val="18"/>
          <w:szCs w:val="18"/>
          <w:color w:val="auto"/>
        </w:rPr>
        <w:t>. Lonza hereby assigns, and shall cause its Affiliates to assign, to Forty Seven all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its right, title and interest in any New Forty Seven Intellectual Property. Lonza shall execute, and shall cause its personnel as well as its Affiliates, External Laboratories or other contractors or agents and their personnel involved in the performance of the Services to execute, any documents reasonably required to confirm Forty Seven’s ownership of the New Forty Seven Intellectual Property, and any documents required to apply for, maintain and enforce any patent or other right in the New Forty Seven Intellectual Property. This clause 10.4 shall be subject to the terms of the Prior MSA and the GS Licence. Subject to the terms and conditions as set forth in this Agreement and the GS Licence, the Cell Line (excluding any Lonza Background Intellectual Property and New General Application Intellectual Property), shall be the sole and exclusive property of Forty Seven, and Lonza hereby assigns to Forty Seven all of its right, title and interest in and to the Cell Line.</w:t>
      </w:r>
    </w:p>
    <w:p>
      <w:pPr>
        <w:spacing w:after="0" w:line="103" w:lineRule="exact"/>
        <w:rPr>
          <w:sz w:val="20"/>
          <w:szCs w:val="20"/>
          <w:color w:val="auto"/>
        </w:rPr>
      </w:pPr>
    </w:p>
    <w:p>
      <w:pPr>
        <w:ind w:left="1480" w:right="20" w:hanging="796"/>
        <w:spacing w:after="0" w:line="302" w:lineRule="auto"/>
        <w:tabs>
          <w:tab w:leader="none" w:pos="14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Subject to the terms and conditions set forth herein, Lonza hereby grants to Forty Seven a non-exclusive, world-wide, fully paid-up, irrevocable, transferable license, including the right to grant and authorize sublicenses, under the New General Application Intellectual Property (a) to make, have made, use, sell, offer for sale and import the Products manufactured under this Agreement and (b) to the extent necessary to practice and exploit Forty Seven’s rights in and to the New Forty Seven Intellectual Property in the Products.</w:t>
      </w:r>
    </w:p>
    <w:p>
      <w:pPr>
        <w:spacing w:after="0" w:line="60" w:lineRule="exact"/>
        <w:rPr>
          <w:sz w:val="20"/>
          <w:szCs w:val="20"/>
          <w:color w:val="auto"/>
        </w:rPr>
      </w:pPr>
    </w:p>
    <w:p>
      <w:pPr>
        <w:ind w:left="1480" w:hanging="796"/>
        <w:spacing w:after="0" w:line="286" w:lineRule="auto"/>
        <w:tabs>
          <w:tab w:leader="none" w:pos="14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Forty Seven hereby grants Lonza the non-exclusive right to use the Forty Seven Information, Forty Seven Background Intellectual Property, Forty Seven Materials, New Forty Seven Intellectual Property, the Cell Line, and any and all other intellectual property supplied by or on behalf of the Forty Seven, during the Term solely for the purpose of fulfilling its obligations under this Agreement.</w:t>
      </w:r>
    </w:p>
    <w:p>
      <w:pPr>
        <w:spacing w:after="0" w:line="71" w:lineRule="exact"/>
        <w:rPr>
          <w:sz w:val="20"/>
          <w:szCs w:val="20"/>
          <w:color w:val="auto"/>
        </w:rPr>
      </w:pPr>
    </w:p>
    <w:p>
      <w:pPr>
        <w:ind w:left="1480" w:right="60" w:hanging="796"/>
        <w:spacing w:after="0" w:line="272" w:lineRule="auto"/>
        <w:tabs>
          <w:tab w:leader="none" w:pos="14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ln the event that Forty Seven is not in breach of clause 11.2 and clause 13 and provided that Lonza has not terminated this Agreement pursuant to clause 14.2, Forty Seven will have the right to transfer the Manufacturing Process to itself and/or any Third Party [*]; provided, however, to the extent such technology transfer includes Lonza Confidential Information, Lonza Background Intellectual Property or New General Application Intellectual Property, such technology transfer shall be subject to the terms of a technology transfer agreement between the Parties (“Technology Transfer Agreement”) in accordance with the outline terms set out in part II of Appendix B, including the price and payment terms set forth therein. Lonza shall provide reasonably necessary documents and reasonably cooperate with Forty Seven to complete such technology transfer.</w:t>
      </w:r>
    </w:p>
    <w:p>
      <w:pPr>
        <w:spacing w:after="0" w:line="110" w:lineRule="exact"/>
        <w:rPr>
          <w:sz w:val="20"/>
          <w:szCs w:val="20"/>
          <w:color w:val="auto"/>
        </w:rPr>
      </w:pPr>
    </w:p>
    <w:p>
      <w:pPr>
        <w:ind w:right="740" w:firstLine="8"/>
        <w:spacing w:after="0" w:line="277" w:lineRule="auto"/>
        <w:tabs>
          <w:tab w:leader="none" w:pos="255"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82" w:right="239" w:bottom="1440" w:gutter="0" w:footer="0" w:header="0"/>
        </w:sectPr>
      </w:pPr>
    </w:p>
    <w:bookmarkStart w:id="420" w:name="page421"/>
    <w:bookmarkEnd w:id="4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4">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4" w:lineRule="exact"/>
        <w:rPr>
          <w:sz w:val="20"/>
          <w:szCs w:val="20"/>
          <w:color w:val="auto"/>
        </w:rPr>
      </w:pPr>
    </w:p>
    <w:p>
      <w:pPr>
        <w:ind w:left="680" w:hanging="672"/>
        <w:spacing w:after="0"/>
        <w:tabs>
          <w:tab w:leader="none" w:pos="68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134"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6"/>
          <w:szCs w:val="16"/>
          <w:color w:val="auto"/>
        </w:rPr>
        <w:t>Lonza warrants that:</w:t>
      </w:r>
    </w:p>
    <w:p>
      <w:pPr>
        <w:spacing w:after="0" w:line="130" w:lineRule="exact"/>
        <w:rPr>
          <w:rFonts w:ascii="Arial" w:cs="Arial" w:eastAsia="Arial" w:hAnsi="Arial"/>
          <w:sz w:val="18"/>
          <w:szCs w:val="18"/>
          <w:b w:val="1"/>
          <w:bCs w:val="1"/>
          <w:color w:val="auto"/>
        </w:rPr>
      </w:pPr>
    </w:p>
    <w:p>
      <w:pPr>
        <w:ind w:left="1480"/>
        <w:spacing w:after="0"/>
        <w:rPr>
          <w:rFonts w:ascii="Arial" w:cs="Arial" w:eastAsia="Arial" w:hAnsi="Arial"/>
          <w:sz w:val="18"/>
          <w:szCs w:val="18"/>
          <w:b w:val="1"/>
          <w:bCs w:val="1"/>
          <w:color w:val="auto"/>
        </w:rPr>
      </w:pPr>
      <w:r>
        <w:rPr>
          <w:rFonts w:ascii="Arial" w:cs="Arial" w:eastAsia="Arial" w:hAnsi="Arial"/>
          <w:sz w:val="17"/>
          <w:szCs w:val="17"/>
          <w:color w:val="auto"/>
        </w:rPr>
        <w:t>11.1.1   the Services shall be performed in accordance with this Agreement (including all Appendices hereto) and Applicable Laws;</w:t>
      </w:r>
    </w:p>
    <w:p>
      <w:pPr>
        <w:spacing w:after="0" w:line="142" w:lineRule="exact"/>
        <w:rPr>
          <w:sz w:val="20"/>
          <w:szCs w:val="20"/>
          <w:color w:val="auto"/>
        </w:rPr>
      </w:pPr>
    </w:p>
    <w:p>
      <w:pPr>
        <w:ind w:left="2160" w:right="340" w:hanging="674"/>
        <w:spacing w:after="0" w:line="308" w:lineRule="auto"/>
        <w:tabs>
          <w:tab w:leader="none" w:pos="214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subject to the provisions set out in clause 2.2 and clause 7.3.3, the manufacture of Product shall be performed in accordance with Applicable Law and cGMP and the Products will, at the date of delivery, meet the Specifications;</w:t>
      </w:r>
    </w:p>
    <w:p>
      <w:pPr>
        <w:spacing w:after="0" w:line="52" w:lineRule="exact"/>
        <w:rPr>
          <w:sz w:val="20"/>
          <w:szCs w:val="20"/>
          <w:color w:val="auto"/>
        </w:rPr>
      </w:pPr>
    </w:p>
    <w:p>
      <w:pPr>
        <w:ind w:left="2160" w:right="20" w:hanging="674"/>
        <w:spacing w:after="0" w:line="273" w:lineRule="auto"/>
        <w:tabs>
          <w:tab w:leader="none" w:pos="214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7"/>
          <w:szCs w:val="17"/>
          <w:color w:val="auto"/>
        </w:rPr>
        <w:t>to the best of Lonza’s knowledge and as on the Effective Date of this Agreement, the use by Lonza of the Manufacturing Process will not infringe any rights (including without limitation any intellectual or industrial property rights) vested in any Third Party, and Lonza will not knowingly include in the Manufacturing Process any elements that infringe any such intellectual or industrial property rights vested in any Third Party; provided however that Lonza gives no warranty that the use by Lonza including its Affiliates of the Manufacturing Process in association with Forty Seven Materials and/or Forty Seven Information in undertaking the Services shall not infringe any Third Party intellectual or industrial property rights;</w:t>
      </w:r>
    </w:p>
    <w:p>
      <w:pPr>
        <w:spacing w:after="0" w:line="84" w:lineRule="exact"/>
        <w:rPr>
          <w:sz w:val="20"/>
          <w:szCs w:val="20"/>
          <w:color w:val="auto"/>
        </w:rPr>
      </w:pPr>
    </w:p>
    <w:p>
      <w:pPr>
        <w:ind w:left="2160" w:right="360" w:hanging="674"/>
        <w:spacing w:after="0" w:line="286" w:lineRule="auto"/>
        <w:tabs>
          <w:tab w:leader="none" w:pos="214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7"/>
          <w:szCs w:val="17"/>
          <w:color w:val="auto"/>
        </w:rPr>
        <w:t>it or its Affiliate holds all necessary permits, approvals, consents and licenses to enable it or such Affiliate to perform the Services to be performed by it or such Affiliate, as applicable, at the Facility (subject always to Clause 11.2.3) or such other Lonza facility where the Parties may agree in writing that Product may be manufactured;</w:t>
      </w:r>
    </w:p>
    <w:p>
      <w:pPr>
        <w:spacing w:after="0" w:line="71"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it has the necessary corporate authorizations to enter into and perform this Agreement;</w:t>
      </w:r>
    </w:p>
    <w:p>
      <w:pPr>
        <w:spacing w:after="0" w:line="131" w:lineRule="exact"/>
        <w:rPr>
          <w:sz w:val="20"/>
          <w:szCs w:val="20"/>
          <w:color w:val="auto"/>
        </w:rPr>
      </w:pPr>
    </w:p>
    <w:p>
      <w:pPr>
        <w:ind w:left="2160" w:hanging="674"/>
        <w:spacing w:after="0" w:line="272" w:lineRule="auto"/>
        <w:tabs>
          <w:tab w:leader="none" w:pos="214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7"/>
          <w:szCs w:val="17"/>
          <w:color w:val="auto"/>
        </w:rPr>
        <w:t>as on the Effective Date of this Agreement, Lonza including its Affiliates have not been debarred by a Regulatory Authority nor have debarment proceedings against Lonza including its Affiliates been commenced. Lonza will promptly notify Forty Seven in writing if any such proceedings have commenced or if Lonza including its Affiliates is debarred by a Regulatory Authority. ln the event that Forty Seven receives such notice from Lonza or otherwise becomes aware that Lonza including its Affiliates is debarred by a Regulatory Authority, then Forty Seven shall have the right to terminate this Agreement in accordance with clause 14.2.1 and in such an event the Forty Seven shall pay to Lonza of all accrued and unpaid obligations up to the date of termination, to the extent not previously been paid by Forty Seven;</w:t>
      </w:r>
    </w:p>
    <w:p>
      <w:pPr>
        <w:spacing w:after="0" w:line="83" w:lineRule="exact"/>
        <w:rPr>
          <w:sz w:val="20"/>
          <w:szCs w:val="20"/>
          <w:color w:val="auto"/>
        </w:rPr>
      </w:pPr>
    </w:p>
    <w:p>
      <w:pPr>
        <w:ind w:left="2160" w:right="620" w:hanging="674"/>
        <w:spacing w:after="0" w:line="277" w:lineRule="auto"/>
        <w:tabs>
          <w:tab w:leader="none" w:pos="2140" w:val="left"/>
        </w:tabs>
        <w:rPr>
          <w:sz w:val="20"/>
          <w:szCs w:val="20"/>
          <w:color w:val="auto"/>
        </w:rPr>
      </w:pPr>
      <w:r>
        <w:rPr>
          <w:rFonts w:ascii="Arial" w:cs="Arial" w:eastAsia="Arial" w:hAnsi="Arial"/>
          <w:sz w:val="18"/>
          <w:szCs w:val="18"/>
          <w:color w:val="auto"/>
        </w:rPr>
        <w:t>11.1.7</w:t>
        <w:tab/>
        <w:t>title to all Product shall pass to Forty Seven as set forth in Clause 7.1 free and clear of any security interest, lien or other encumbrance in favour of Lonza; and</w:t>
      </w:r>
    </w:p>
    <w:p>
      <w:pPr>
        <w:spacing w:after="0" w:line="76" w:lineRule="exact"/>
        <w:rPr>
          <w:sz w:val="20"/>
          <w:szCs w:val="20"/>
          <w:color w:val="auto"/>
        </w:rPr>
      </w:pPr>
    </w:p>
    <w:p>
      <w:pPr>
        <w:ind w:left="2160" w:right="40" w:hanging="674"/>
        <w:spacing w:after="0" w:line="255" w:lineRule="auto"/>
        <w:tabs>
          <w:tab w:leader="none" w:pos="2140" w:val="left"/>
        </w:tabs>
        <w:rPr>
          <w:sz w:val="20"/>
          <w:szCs w:val="20"/>
          <w:color w:val="auto"/>
        </w:rPr>
      </w:pPr>
      <w:r>
        <w:rPr>
          <w:rFonts w:ascii="Arial" w:cs="Arial" w:eastAsia="Arial" w:hAnsi="Arial"/>
          <w:sz w:val="18"/>
          <w:szCs w:val="18"/>
          <w:color w:val="auto"/>
        </w:rPr>
        <w:t>11.1.8</w:t>
        <w:tab/>
        <w:t>each employee of Lonza, a Lonza Affiliate and/or each External Laboratory who will receive or have access to Forty Seven Information or who will perform services will be subject to written obligations (i) to assign to Lonza any and all right, title and interest in and to all Intellectual Property developed by such employee or External Laboratory in connection with the performance of services in accordance with this Agreement and (ii) to protect the Forty seven Information in accordance with terms at least as protective of the Forty seven Information as the terms of this Agreement, in each case prior to the earlier of any disclosure of Forty Seven Information to such employee or External Laboratory or the commencement of any such performance by such employee or External Laboratory.</w:t>
      </w:r>
    </w:p>
    <w:p>
      <w:pPr>
        <w:spacing w:after="0" w:line="122" w:lineRule="exact"/>
        <w:rPr>
          <w:sz w:val="20"/>
          <w:szCs w:val="20"/>
          <w:color w:val="auto"/>
        </w:rPr>
      </w:pPr>
    </w:p>
    <w:p>
      <w:pPr>
        <w:ind w:right="740" w:firstLine="8"/>
        <w:spacing w:after="0" w:line="277" w:lineRule="auto"/>
        <w:tabs>
          <w:tab w:leader="none" w:pos="255" w:val="left"/>
        </w:tabs>
        <w:numPr>
          <w:ilvl w:val="0"/>
          <w:numId w:val="49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81" w:right="239" w:bottom="1440" w:gutter="0" w:footer="0" w:header="0"/>
        </w:sectPr>
      </w:pPr>
    </w:p>
    <w:bookmarkStart w:id="421" w:name="page422"/>
    <w:bookmarkEnd w:id="4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6">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Forty Seven warrants that:</w:t>
      </w:r>
    </w:p>
    <w:p>
      <w:pPr>
        <w:spacing w:after="0" w:line="131" w:lineRule="exact"/>
        <w:rPr>
          <w:sz w:val="20"/>
          <w:szCs w:val="20"/>
          <w:color w:val="auto"/>
        </w:rPr>
      </w:pPr>
    </w:p>
    <w:p>
      <w:pPr>
        <w:ind w:left="2160" w:hanging="674"/>
        <w:spacing w:after="0" w:line="264" w:lineRule="auto"/>
        <w:tabs>
          <w:tab w:leader="none" w:pos="2140" w:val="left"/>
        </w:tabs>
        <w:rPr>
          <w:sz w:val="20"/>
          <w:szCs w:val="20"/>
          <w:color w:val="auto"/>
        </w:rPr>
      </w:pPr>
      <w:r>
        <w:rPr>
          <w:rFonts w:ascii="Arial" w:cs="Arial" w:eastAsia="Arial" w:hAnsi="Arial"/>
          <w:sz w:val="18"/>
          <w:szCs w:val="18"/>
          <w:color w:val="auto"/>
        </w:rPr>
        <w:t>11.2.1</w:t>
        <w:tab/>
        <w:t>to the best of the Forty seven’s knowledge, Forty Seven has all the rights necessary to permit Lonza and its Affiliates to perform the Services in accordance with the terms of this Agreement without infringing the Intellectual Property rights of any Third Party;</w:t>
      </w:r>
    </w:p>
    <w:p>
      <w:pPr>
        <w:spacing w:after="0" w:line="87" w:lineRule="exact"/>
        <w:rPr>
          <w:sz w:val="20"/>
          <w:szCs w:val="20"/>
          <w:color w:val="auto"/>
        </w:rPr>
      </w:pPr>
    </w:p>
    <w:p>
      <w:pPr>
        <w:ind w:left="2160" w:right="140" w:hanging="674"/>
        <w:spacing w:after="0" w:line="257" w:lineRule="auto"/>
        <w:tabs>
          <w:tab w:leader="none" w:pos="2140" w:val="left"/>
        </w:tabs>
        <w:rPr>
          <w:sz w:val="20"/>
          <w:szCs w:val="20"/>
          <w:color w:val="auto"/>
        </w:rPr>
      </w:pPr>
      <w:r>
        <w:rPr>
          <w:rFonts w:ascii="Arial" w:cs="Arial" w:eastAsia="Arial" w:hAnsi="Arial"/>
          <w:sz w:val="18"/>
          <w:szCs w:val="18"/>
          <w:color w:val="auto"/>
        </w:rPr>
        <w:t>11.2.2</w:t>
        <w:tab/>
        <w:t>Forty Seven will promptly notify Lonza in writing if it receives or is notified of a formal written claim from a Third Party that Forty Seven Information and/or Forty Seven Background Intellectual Property, Forty Seven Materials, New Forty Seven Intellectual Property, the Cell Line, and/or any and all other information, materials and Intellectual Property supplied by or on behalf of the Forty Seven, or that the use by Lonza thereof for the provision of the Services infringes any Intellectual Property or other rights of any Third Party;</w:t>
      </w:r>
    </w:p>
    <w:p>
      <w:pPr>
        <w:spacing w:after="0" w:line="94" w:lineRule="exact"/>
        <w:rPr>
          <w:sz w:val="20"/>
          <w:szCs w:val="20"/>
          <w:color w:val="auto"/>
        </w:rPr>
      </w:pPr>
    </w:p>
    <w:p>
      <w:pPr>
        <w:ind w:left="2160" w:right="40" w:hanging="674"/>
        <w:spacing w:after="0" w:line="255" w:lineRule="auto"/>
        <w:tabs>
          <w:tab w:leader="none" w:pos="2140" w:val="left"/>
        </w:tabs>
        <w:rPr>
          <w:sz w:val="20"/>
          <w:szCs w:val="20"/>
          <w:color w:val="auto"/>
        </w:rPr>
      </w:pPr>
      <w:r>
        <w:rPr>
          <w:rFonts w:ascii="Arial" w:cs="Arial" w:eastAsia="Arial" w:hAnsi="Arial"/>
          <w:sz w:val="18"/>
          <w:szCs w:val="18"/>
          <w:color w:val="auto"/>
        </w:rPr>
        <w:t>11.2.3</w:t>
        <w:tab/>
        <w:t>to the best of Forty Seven’s knowledge, Forty Seven has all the rights necessary to provide, and permit Lonza and its Affiliates and the External Laboratories to use for the purposes of this Agreement, the Forty Seven Information, Forty Seven Background Intellectual Property, Forty Seven Materials, New Forty Seven Intellectual Property, the Cell Line (subject to the terms of the GS Licence) and any and all other information, materials and Intellectual Property supplied by or on behalf of the Forty Seven, and that the use of anything referred to in this clause 11.2.3 will not infringe the Intellectual Property rights of any Third Party; and</w:t>
      </w:r>
    </w:p>
    <w:p>
      <w:pPr>
        <w:spacing w:after="0" w:line="99"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6"/>
          <w:szCs w:val="16"/>
          <w:color w:val="auto"/>
        </w:rPr>
        <w:t>Forty Seven has the necessary corporate authorizations to enter into this Agreement.</w:t>
      </w:r>
    </w:p>
    <w:p>
      <w:pPr>
        <w:spacing w:after="0" w:line="131" w:lineRule="exact"/>
        <w:rPr>
          <w:sz w:val="20"/>
          <w:szCs w:val="20"/>
          <w:color w:val="auto"/>
        </w:rPr>
      </w:pPr>
    </w:p>
    <w:p>
      <w:pPr>
        <w:ind w:left="2160" w:right="20" w:hanging="674"/>
        <w:spacing w:after="0" w:line="259" w:lineRule="auto"/>
        <w:tabs>
          <w:tab w:leader="none" w:pos="2140" w:val="left"/>
        </w:tabs>
        <w:rPr>
          <w:sz w:val="20"/>
          <w:szCs w:val="20"/>
          <w:color w:val="auto"/>
        </w:rPr>
      </w:pPr>
      <w:r>
        <w:rPr>
          <w:rFonts w:ascii="Arial" w:cs="Arial" w:eastAsia="Arial" w:hAnsi="Arial"/>
          <w:sz w:val="18"/>
          <w:szCs w:val="18"/>
          <w:color w:val="auto"/>
        </w:rPr>
        <w:t>11.2.5</w:t>
        <w:tab/>
        <w:t>as on the Effective Date of this Agreement, Forty Seven including its Affiliates have not been debarred by a Regulatory Authority nor have debarment proceedings against Forty Seven including its Affiliates been commenced. Forty Seven will promptly notify Lonza in writing if any such proceedings have commenced or if Forty Seven including its Affiliates is debarred by a Regulatory Authority.</w:t>
      </w:r>
    </w:p>
    <w:p>
      <w:pPr>
        <w:spacing w:after="0" w:line="92" w:lineRule="exact"/>
        <w:rPr>
          <w:sz w:val="20"/>
          <w:szCs w:val="20"/>
          <w:color w:val="auto"/>
        </w:rPr>
      </w:pPr>
    </w:p>
    <w:p>
      <w:pPr>
        <w:ind w:left="1480" w:right="660" w:hanging="796"/>
        <w:spacing w:after="0" w:line="259" w:lineRule="auto"/>
        <w:tabs>
          <w:tab w:leader="none" w:pos="14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THE WARRANTIES EXPRESSLY SET FORTH IN THIS AGREEMENT ARE IN LIEU OF ALL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WARRANTIES, AND ALL OTHER WARRANTIES, BOTH EXPRESS AND IMPLIED, ARE EXPRESSLY DISCLAIMED, INCLUDING WITHOUT LIMITATION ANY WARRANTY OF MERCHANTABILITY OR FITNESS FOR A PARTICULAR PURPOSE.</w:t>
      </w:r>
    </w:p>
    <w:p>
      <w:pPr>
        <w:spacing w:after="0" w:line="331" w:lineRule="exact"/>
        <w:rPr>
          <w:sz w:val="20"/>
          <w:szCs w:val="20"/>
          <w:color w:val="auto"/>
        </w:rPr>
      </w:pPr>
    </w:p>
    <w:p>
      <w:pPr>
        <w:ind w:left="680" w:hanging="672"/>
        <w:spacing w:after="0"/>
        <w:tabs>
          <w:tab w:leader="none" w:pos="68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Liability</w:t>
      </w:r>
    </w:p>
    <w:p>
      <w:pPr>
        <w:spacing w:after="0" w:line="134" w:lineRule="exact"/>
        <w:rPr>
          <w:rFonts w:ascii="Arial" w:cs="Arial" w:eastAsia="Arial" w:hAnsi="Arial"/>
          <w:sz w:val="18"/>
          <w:szCs w:val="18"/>
          <w:b w:val="1"/>
          <w:bCs w:val="1"/>
          <w:color w:val="auto"/>
        </w:rPr>
      </w:pPr>
    </w:p>
    <w:p>
      <w:pPr>
        <w:ind w:left="1480" w:right="160" w:hanging="797"/>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12.1</w:t>
      </w:r>
      <w:r>
        <w:rPr>
          <w:rFonts w:ascii="Arial" w:cs="Arial" w:eastAsia="Arial" w:hAnsi="Arial"/>
          <w:sz w:val="16"/>
          <w:szCs w:val="16"/>
          <w:u w:val="single" w:color="auto"/>
          <w:color w:val="auto"/>
        </w:rPr>
        <w:t>Indemnification by Lonza</w:t>
      </w:r>
      <w:r>
        <w:rPr>
          <w:rFonts w:ascii="Arial" w:cs="Arial" w:eastAsia="Arial" w:hAnsi="Arial"/>
          <w:sz w:val="16"/>
          <w:szCs w:val="16"/>
          <w:color w:val="auto"/>
        </w:rPr>
        <w:t>. Lonza shall indemnify the Forty Seven, its Affiliates, and their respective officers, employees and agents</w:t>
      </w:r>
      <w:r>
        <w:rPr>
          <w:rFonts w:ascii="Arial" w:cs="Arial" w:eastAsia="Arial" w:hAnsi="Arial"/>
          <w:sz w:val="16"/>
          <w:szCs w:val="16"/>
          <w:u w:val="single" w:color="auto"/>
          <w:color w:val="auto"/>
        </w:rPr>
        <w:t xml:space="preserve"> </w:t>
      </w:r>
      <w:r>
        <w:rPr>
          <w:rFonts w:ascii="Arial" w:cs="Arial" w:eastAsia="Arial" w:hAnsi="Arial"/>
          <w:sz w:val="16"/>
          <w:szCs w:val="16"/>
          <w:color w:val="auto"/>
        </w:rPr>
        <w:t>(“Forty Seven Indemnitees”) for any loss, damage, costs, liability and expenses (including reasonable attorney fees) that Forty Seven Indemnitees may suffer as a result of any Third Party claim arising directly out of (i) any material breach of the warranties given by Lonza in Clause 11.1 above and/or (ii) any claims alleging that the Services (excluding use by Lonza, Lonza’s Affiliates, contractors or the External Laboratories of the Forty Seven Information, Forty Seven Background Intellectual Property, Forty Seven Materials, New Forty Seven Intellectual property, and/or any and all information, materials and other Intellectual</w:t>
      </w:r>
    </w:p>
    <w:p>
      <w:pPr>
        <w:spacing w:after="0" w:line="97" w:lineRule="exact"/>
        <w:rPr>
          <w:sz w:val="20"/>
          <w:szCs w:val="20"/>
          <w:color w:val="auto"/>
        </w:rPr>
      </w:pPr>
    </w:p>
    <w:p>
      <w:pPr>
        <w:ind w:right="700" w:firstLine="8"/>
        <w:spacing w:after="0" w:line="277" w:lineRule="auto"/>
        <w:tabs>
          <w:tab w:leader="none" w:pos="25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881" w:right="279"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jc w:val="both"/>
        <w:ind w:left="1480" w:right="340"/>
        <w:spacing w:after="0" w:line="264" w:lineRule="auto"/>
        <w:rPr>
          <w:sz w:val="20"/>
          <w:szCs w:val="20"/>
          <w:color w:val="auto"/>
        </w:rPr>
      </w:pPr>
      <w:r>
        <w:rPr>
          <w:rFonts w:ascii="Arial" w:cs="Arial" w:eastAsia="Arial" w:hAnsi="Arial"/>
          <w:sz w:val="18"/>
          <w:szCs w:val="18"/>
          <w:color w:val="auto"/>
        </w:rPr>
        <w:t>Property supplied by or on behalf of the Forty Seven (excluding Lonza’s host cell lines)) infringe any Intellectual Property rights of a Third Party except, in each case, to the extent that such claims resulted from the negligence, intentional misconduct or breach of this Agreement by any Forty Seven Indemnitees.</w:t>
      </w:r>
    </w:p>
    <w:p>
      <w:pPr>
        <w:spacing w:after="0" w:line="87" w:lineRule="exact"/>
        <w:rPr>
          <w:sz w:val="20"/>
          <w:szCs w:val="20"/>
          <w:color w:val="auto"/>
        </w:rPr>
      </w:pPr>
    </w:p>
    <w:p>
      <w:pPr>
        <w:ind w:left="1480" w:right="100" w:hanging="796"/>
        <w:spacing w:after="0" w:line="288" w:lineRule="auto"/>
        <w:tabs>
          <w:tab w:leader="none" w:pos="14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Indemnification by Forty Seven</w:t>
      </w:r>
      <w:r>
        <w:rPr>
          <w:rFonts w:ascii="Arial" w:cs="Arial" w:eastAsia="Arial" w:hAnsi="Arial"/>
          <w:sz w:val="16"/>
          <w:szCs w:val="16"/>
          <w:color w:val="auto"/>
        </w:rPr>
        <w:t>. Forty Seven shall indemnity Lonza, its Affiliates, and their respective officers, employees and agents</w:t>
      </w:r>
      <w:r>
        <w:rPr>
          <w:rFonts w:ascii="Arial" w:cs="Arial" w:eastAsia="Arial" w:hAnsi="Arial"/>
          <w:sz w:val="16"/>
          <w:szCs w:val="16"/>
          <w:u w:val="single" w:color="auto"/>
          <w:color w:val="auto"/>
        </w:rPr>
        <w:t xml:space="preserve"> </w:t>
      </w:r>
      <w:r>
        <w:rPr>
          <w:rFonts w:ascii="Arial" w:cs="Arial" w:eastAsia="Arial" w:hAnsi="Arial"/>
          <w:sz w:val="16"/>
          <w:szCs w:val="16"/>
          <w:color w:val="auto"/>
        </w:rPr>
        <w:t>(“Lonza Indemnitees”) from and against any loss, damage, costs, liability and expenses (including reasonable attorney fees) that any Lonza Indemnitees may suffer as a result of any Third Party claim arising directly out of (i) any material breach of the warranties given by Forty Seven in Clause 11.2 above; and/or (ii) any claims alleging that the performance of Services infringes any Intellectual Property rights of third parties; and/or (iii) the manufacture, use, sale, or distribution by or on behalf of any Forty Seven Indemnitee of any Product, including any claims of product liability; and/or (iv) the use by Lonza, any of Lonza’s Affiliates, or any External Laboratory in accordance with this Agreement of any Forty Seven Information, Forty Seven Materials, Forty Seven Background Intellectual Property, New Forty Seven Intellectual Property and/or any other information, materials or Intellectual Property provided by or on behalf of Forty Seven for the purposes of this Agreement (excluding Lonza’s host cell lines); except, in each case, to the extent that such claims resulted from the negligence, intentional misconduct or breach of this Agreement by any Lonza Indemnitees.</w:t>
      </w:r>
    </w:p>
    <w:p>
      <w:pPr>
        <w:spacing w:after="0" w:line="75" w:lineRule="exact"/>
        <w:rPr>
          <w:sz w:val="20"/>
          <w:szCs w:val="20"/>
          <w:color w:val="auto"/>
        </w:rPr>
      </w:pPr>
    </w:p>
    <w:p>
      <w:pPr>
        <w:ind w:left="1480" w:right="100" w:hanging="796"/>
        <w:spacing w:after="0" w:line="271" w:lineRule="auto"/>
        <w:tabs>
          <w:tab w:leader="none" w:pos="14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 lf the Party to be indemnified intends to claim indemnification under this Clause 12, it shall promptly notify</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indemnifying Party in writing of such claim. The indemnitor shall have the right to control the defense and/or settlement thereof; provided, however, that the indemnitor must obtain the prior written consent of the indemnitee (not to be unreasonably withheld) before entering into any settlement of such Third Party claim that admits fault, wrongdoing or damages (to the extent not readily payable by the indemnitor at the time of settlement) and any indemnitee shall have the right to retain its own counsel at its own expense. The indemnitee, its employees and agents, shall reasonably cooperate with the indemnitor in the investigation of any liability covered by this Clause 12. The failure to deliver prompt written notice to the indemnitor of any claim, to the extent prejudicial to its ability to defend such claim, shall relieve the indemnitor of any obligation to the indemnitee under this Clause 12.</w:t>
      </w:r>
    </w:p>
    <w:p>
      <w:pPr>
        <w:spacing w:after="0" w:line="84" w:lineRule="exact"/>
        <w:rPr>
          <w:sz w:val="20"/>
          <w:szCs w:val="20"/>
          <w:color w:val="auto"/>
        </w:rPr>
      </w:pPr>
    </w:p>
    <w:p>
      <w:pPr>
        <w:ind w:left="1480" w:hanging="796"/>
        <w:spacing w:after="0" w:line="272" w:lineRule="auto"/>
        <w:tabs>
          <w:tab w:leader="none" w:pos="14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u w:val="single" w:color="auto"/>
          <w:color w:val="auto"/>
        </w:rPr>
        <w:t>DISCLAIMER OF CERTAIN DAMAGES</w:t>
      </w:r>
      <w:r>
        <w:rPr>
          <w:rFonts w:ascii="Arial" w:cs="Arial" w:eastAsia="Arial" w:hAnsi="Arial"/>
          <w:sz w:val="17"/>
          <w:szCs w:val="17"/>
          <w:color w:val="auto"/>
        </w:rPr>
        <w:t>. SUBJECT ALWAYS TO CLAUSE 12.6 IN NO EVENT SHALL EITHER PARTY OR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ITS AFFILIATES BE LIABLE TO THE OTHER PARTY AND/OR ANY OF THE OTHER PARTY’S AFFILIATES AND/OR ANY OF THE OTHER PARTY’S INDEMNITEES (IN EACH CASE WHETHER IN CONTRACT, TORT, NEGLIGENCE, BREACH OF STATUTORY DUTY OR OTHERWISE HOWSOEVER ARISING) FOR ANY LOSS OF PROFITS, LOSS OF REVENUES, LOSS OF GOODWILL, LOSS OF REPUTATION, OR FOR ANY INCIDENTAL, INDIRECT, SPECIAL, PUNITIVE OR CONSEQUENTIAL LOSSES OR DAMAGES, ARISING FROM OR RELATED TO THIS AGREEMENT, PROVIDED THAT THIS SHALL NOT PRECLUDE ANY CLAIM BY LONZA FOR ANY UNPAID INVOICES.</w:t>
      </w:r>
    </w:p>
    <w:p>
      <w:pPr>
        <w:spacing w:after="0" w:line="83" w:lineRule="exact"/>
        <w:rPr>
          <w:sz w:val="20"/>
          <w:szCs w:val="20"/>
          <w:color w:val="auto"/>
        </w:rPr>
      </w:pPr>
    </w:p>
    <w:p>
      <w:pPr>
        <w:ind w:left="1480" w:right="40" w:hanging="796"/>
        <w:spacing w:after="0" w:line="255" w:lineRule="auto"/>
        <w:tabs>
          <w:tab w:leader="none" w:pos="14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SUBJECT ALWAYS TO CLAUSE 12.6, THE AGGREGATE LIABILITY OF EACH PARTY AND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AFFILIATES TO THE OTHER PARTY AND ITS AFFILIATES WITH RESPECT TO ANY CLAIM UNDER OR IN RELATION TO THIS AGREEMENT (WHETHER IN CONTRACT, TORT, NEGLIGENCE, BREACH OF STATUTORY DUTY, UNDER ANY INDEMNITY OR OTHERWISE HOWSOEVER ARISING) SHALL NOT EXCEED, IN THE AGGREGATE, THREE TIMES THE TOTAL AMOUNTS PAID BY FORTY SEVEN TO LONZA UNDER THIS AGREEMENT IN THE TWELVE (12) MONTH PERIOD PRIOR TO SUCH CLAIM.</w:t>
      </w:r>
    </w:p>
    <w:p>
      <w:pPr>
        <w:spacing w:after="0" w:line="126" w:lineRule="exact"/>
        <w:rPr>
          <w:sz w:val="20"/>
          <w:szCs w:val="20"/>
          <w:color w:val="auto"/>
        </w:rPr>
      </w:pPr>
    </w:p>
    <w:p>
      <w:pPr>
        <w:ind w:right="740" w:firstLine="8"/>
        <w:spacing w:after="0" w:line="277" w:lineRule="auto"/>
        <w:tabs>
          <w:tab w:leader="none" w:pos="255" w:val="left"/>
        </w:tabs>
        <w:numPr>
          <w:ilvl w:val="0"/>
          <w:numId w:val="49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81" w:right="239" w:bottom="1440" w:gutter="0" w:footer="0" w:header="0"/>
        </w:sectPr>
      </w:pPr>
    </w:p>
    <w:bookmarkStart w:id="423" w:name="page424"/>
    <w:bookmarkEnd w:id="4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1480" w:right="60" w:hanging="796"/>
        <w:spacing w:after="0" w:line="259" w:lineRule="auto"/>
        <w:tabs>
          <w:tab w:leader="none" w:pos="14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NOTHING IN THIS AGREEMENT SHALL OPERATE SO AS TO EXCLUDE OR IN ANY WAY LIMIT A PARTY’S, OR ITS AFFILIATE’S, LIABILITY (i) FOR FRAUD, INTENTIONAL MISCONDUCT OR GROSS NEGLIGENCE, OR (ii) FOR DEATH OR PERSONAL INJURY CAUSED BY ITS FRAUD, INTENTIONAL MISCONDUCT OR GROSS NEGLIGENCE OR (iii) FOR ANY OTHER LIABILITY THAT MAY NOT BE EXCLUDED OR LIMITED AS A MATTER OF LAW.</w:t>
      </w:r>
    </w:p>
    <w:p>
      <w:pPr>
        <w:spacing w:after="0" w:line="331" w:lineRule="exact"/>
        <w:rPr>
          <w:sz w:val="20"/>
          <w:szCs w:val="20"/>
          <w:color w:val="auto"/>
        </w:rPr>
      </w:pPr>
    </w:p>
    <w:p>
      <w:pPr>
        <w:ind w:left="680" w:hanging="672"/>
        <w:spacing w:after="0"/>
        <w:tabs>
          <w:tab w:leader="none" w:pos="680"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4" w:lineRule="exact"/>
        <w:rPr>
          <w:rFonts w:ascii="Arial" w:cs="Arial" w:eastAsia="Arial" w:hAnsi="Arial"/>
          <w:sz w:val="18"/>
          <w:szCs w:val="18"/>
          <w:b w:val="1"/>
          <w:bCs w:val="1"/>
          <w:color w:val="auto"/>
        </w:rPr>
      </w:pPr>
    </w:p>
    <w:p>
      <w:pPr>
        <w:ind w:left="1480" w:hanging="797"/>
        <w:spacing w:after="0" w:line="290" w:lineRule="auto"/>
        <w:rPr>
          <w:rFonts w:ascii="Arial" w:cs="Arial" w:eastAsia="Arial" w:hAnsi="Arial"/>
          <w:sz w:val="18"/>
          <w:szCs w:val="18"/>
          <w:b w:val="1"/>
          <w:bCs w:val="1"/>
          <w:color w:val="auto"/>
        </w:rPr>
      </w:pPr>
      <w:r>
        <w:rPr>
          <w:rFonts w:ascii="Arial" w:cs="Arial" w:eastAsia="Arial" w:hAnsi="Arial"/>
          <w:sz w:val="18"/>
          <w:szCs w:val="18"/>
          <w:color w:val="auto"/>
        </w:rPr>
        <w:t>13.1</w:t>
      </w:r>
      <w:r>
        <w:rPr>
          <w:rFonts w:ascii="Arial" w:cs="Arial" w:eastAsia="Arial" w:hAnsi="Arial"/>
          <w:sz w:val="16"/>
          <w:szCs w:val="16"/>
          <w:color w:val="auto"/>
        </w:rPr>
        <w:t>A Party receiving Confidential Information (the “Receiving Party”) agrees to strictly keep secret any and all Confidential Information received during the Term from or on behalf of the other Party (the “Disclosing Party”) as well as the terms of this Agreement using at least the same level of measures as it uses to protect its own Confidential Information, but in any case at least commercially reasonable and customary efforts. Confidential Information shall include information disclosed in any form including but not limited to in writing, orally, graphically or in electronic or other form to the Receiving Party, observed by the Receiving Party or its employees, agents, consultants, or representatives, or otherwise learned by the Receiving Party under this Agreement, which the Receiving Party knows or reasonably should know is confidential or proprietary. For the avoidance of doubt, Forty Seven shall be deemed the Disclosing Party with respect to Forty Seven Information and Lonza shall be deemed the Disclosing Party with respect to Lonza Information.</w:t>
      </w:r>
    </w:p>
    <w:p>
      <w:pPr>
        <w:spacing w:after="0" w:line="71" w:lineRule="exact"/>
        <w:rPr>
          <w:rFonts w:ascii="Arial" w:cs="Arial" w:eastAsia="Arial" w:hAnsi="Arial"/>
          <w:sz w:val="18"/>
          <w:szCs w:val="18"/>
          <w:b w:val="1"/>
          <w:bCs w:val="1"/>
          <w:color w:val="auto"/>
        </w:rPr>
      </w:pPr>
    </w:p>
    <w:p>
      <w:pPr>
        <w:ind w:left="1480" w:right="40" w:hanging="797"/>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13.2</w:t>
      </w:r>
      <w:r>
        <w:rPr>
          <w:rFonts w:ascii="Arial" w:cs="Arial" w:eastAsia="Arial" w:hAnsi="Arial"/>
          <w:sz w:val="17"/>
          <w:szCs w:val="17"/>
          <w:color w:val="auto"/>
        </w:rPr>
        <w:t>Notwithstanding the foregoing, Receiving Party may disclose to any courts and/or other authorities Confidential Information which is or will be required pursuant to applicable governmental or administrative or public law, rule, regulation or order. ln such case the Party that received the Confidential Information will, to the extent legally permitted, inform the other Party promptly in writing and cooperate with the Disclosing Party in seeking to minimize the extent of Confidential Information which is required to be disclosed to the courts and/or authorities. If the Disclosing Party fails to obtain any protective order or other remedy, the Receiving Party shall furnish only that portion of the Confidential Information that is legally required to be disclosed and any Confidential Information so disclosed shall be treated as confidential for all purposes other than such legally compelled disclosure.</w:t>
      </w:r>
    </w:p>
    <w:p>
      <w:pPr>
        <w:spacing w:after="0" w:line="83"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13.3</w:t>
      </w:r>
      <w:r>
        <w:rPr>
          <w:rFonts w:ascii="Arial" w:cs="Arial" w:eastAsia="Arial" w:hAnsi="Arial"/>
          <w:sz w:val="16"/>
          <w:szCs w:val="16"/>
          <w:color w:val="auto"/>
        </w:rPr>
        <w:t>The obligation to maintain confidentiality under this Agreement does not apply to Confidential Information, which:</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6"/>
          <w:szCs w:val="16"/>
          <w:color w:val="auto"/>
        </w:rPr>
        <w:t>at the time of disclosure was publicly available; or</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6"/>
          <w:szCs w:val="16"/>
          <w:color w:val="auto"/>
        </w:rPr>
        <w:t>is or becomes publicly available other than as a result of a breach of this Agreement by the Receiving Party; or</w:t>
      </w:r>
    </w:p>
    <w:p>
      <w:pPr>
        <w:spacing w:after="0" w:line="131" w:lineRule="exact"/>
        <w:rPr>
          <w:sz w:val="20"/>
          <w:szCs w:val="20"/>
          <w:color w:val="auto"/>
        </w:rPr>
      </w:pPr>
    </w:p>
    <w:p>
      <w:pPr>
        <w:ind w:left="2160" w:right="340" w:hanging="674"/>
        <w:spacing w:after="0" w:line="342" w:lineRule="auto"/>
        <w:tabs>
          <w:tab w:leader="none" w:pos="2140" w:val="left"/>
        </w:tabs>
        <w:rPr>
          <w:sz w:val="20"/>
          <w:szCs w:val="20"/>
          <w:color w:val="auto"/>
        </w:rPr>
      </w:pPr>
      <w:r>
        <w:rPr>
          <w:rFonts w:ascii="Arial" w:cs="Arial" w:eastAsia="Arial" w:hAnsi="Arial"/>
          <w:sz w:val="18"/>
          <w:szCs w:val="18"/>
          <w:color w:val="auto"/>
        </w:rPr>
        <w:t>13.3.3</w:t>
      </w:r>
      <w:r>
        <w:rPr>
          <w:sz w:val="20"/>
          <w:szCs w:val="20"/>
          <w:color w:val="auto"/>
        </w:rPr>
        <w:tab/>
      </w:r>
      <w:r>
        <w:rPr>
          <w:rFonts w:ascii="Arial" w:cs="Arial" w:eastAsia="Arial" w:hAnsi="Arial"/>
          <w:sz w:val="16"/>
          <w:szCs w:val="16"/>
          <w:color w:val="auto"/>
        </w:rPr>
        <w:t>as the Receiving Party can establish by competent proof, was rightfully in its possession at the time of disclosure by the Disclosing Party and had not been received from or on behalf of Disclosing Party (or anyone for whom it is responsible); or</w:t>
      </w:r>
    </w:p>
    <w:p>
      <w:pPr>
        <w:spacing w:after="0" w:line="29" w:lineRule="exact"/>
        <w:rPr>
          <w:sz w:val="20"/>
          <w:szCs w:val="20"/>
          <w:color w:val="auto"/>
        </w:rPr>
      </w:pPr>
    </w:p>
    <w:p>
      <w:pPr>
        <w:ind w:left="2160" w:right="320" w:hanging="674"/>
        <w:spacing w:after="0" w:line="277" w:lineRule="auto"/>
        <w:tabs>
          <w:tab w:leader="none" w:pos="2140" w:val="left"/>
        </w:tabs>
        <w:rPr>
          <w:sz w:val="20"/>
          <w:szCs w:val="20"/>
          <w:color w:val="auto"/>
        </w:rPr>
      </w:pPr>
      <w:r>
        <w:rPr>
          <w:rFonts w:ascii="Arial" w:cs="Arial" w:eastAsia="Arial" w:hAnsi="Arial"/>
          <w:sz w:val="18"/>
          <w:szCs w:val="18"/>
          <w:color w:val="auto"/>
        </w:rPr>
        <w:t>13.3.4</w:t>
        <w:tab/>
        <w:t>is supplied to a Party by a Third Party which was not in breach of an obligation of confidentiality to Disclosing Party or any other party; or</w:t>
      </w:r>
    </w:p>
    <w:p>
      <w:pPr>
        <w:spacing w:after="0" w:line="76" w:lineRule="exact"/>
        <w:rPr>
          <w:sz w:val="20"/>
          <w:szCs w:val="20"/>
          <w:color w:val="auto"/>
        </w:rPr>
      </w:pPr>
    </w:p>
    <w:p>
      <w:pPr>
        <w:ind w:left="2160" w:right="360" w:hanging="674"/>
        <w:spacing w:after="0" w:line="277" w:lineRule="auto"/>
        <w:tabs>
          <w:tab w:leader="none" w:pos="2140" w:val="left"/>
        </w:tabs>
        <w:rPr>
          <w:sz w:val="20"/>
          <w:szCs w:val="20"/>
          <w:color w:val="auto"/>
        </w:rPr>
      </w:pPr>
      <w:r>
        <w:rPr>
          <w:rFonts w:ascii="Arial" w:cs="Arial" w:eastAsia="Arial" w:hAnsi="Arial"/>
          <w:sz w:val="18"/>
          <w:szCs w:val="18"/>
          <w:color w:val="auto"/>
        </w:rPr>
        <w:t>13.3.5</w:t>
        <w:tab/>
        <w:t>is developed by the Receiving Party independently from and without use of or reference to the Confidential Information, as evidenced by contemporaneous written records.</w:t>
      </w:r>
    </w:p>
    <w:p>
      <w:pPr>
        <w:spacing w:after="0" w:line="103" w:lineRule="exact"/>
        <w:rPr>
          <w:sz w:val="20"/>
          <w:szCs w:val="20"/>
          <w:color w:val="auto"/>
        </w:rPr>
      </w:pPr>
    </w:p>
    <w:p>
      <w:pPr>
        <w:ind w:right="720" w:firstLine="8"/>
        <w:spacing w:after="0" w:line="277" w:lineRule="auto"/>
        <w:tabs>
          <w:tab w:leader="none" w:pos="255"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882" w:right="25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2">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1480" w:right="60" w:hanging="796"/>
        <w:spacing w:after="0" w:line="273" w:lineRule="auto"/>
        <w:tabs>
          <w:tab w:leader="none" w:pos="14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The Receiving Party will use Confidential Information of the Disclosing Party only for the purposes of exercising its rights and fulfilling its obligations under this Agreement and will not otherwise make any use of the Confidential Information of the Disclosing Party for its own separate benefit or the benefit of any Third Party including, without limitation, with respect to research or product development or any reverse engineering or similar testing. The Receiving Party agrees to return or destroy promptly (and certify such destruction) on Disclosing Party’s request all Confidential Information of the Disclosing Party, except that one copy of such Confidential Information may be kept by the Receiving Party in its confidential files for record keeping purposes only.</w:t>
      </w:r>
    </w:p>
    <w:p>
      <w:pPr>
        <w:spacing w:after="0" w:line="84" w:lineRule="exact"/>
        <w:rPr>
          <w:sz w:val="20"/>
          <w:szCs w:val="20"/>
          <w:color w:val="auto"/>
        </w:rPr>
      </w:pPr>
    </w:p>
    <w:p>
      <w:pPr>
        <w:ind w:left="1480" w:right="40" w:hanging="796"/>
        <w:spacing w:after="0" w:line="269" w:lineRule="auto"/>
        <w:tabs>
          <w:tab w:leader="none" w:pos="14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Each Party will restrict the disclosure of Confidential Information of the other Party to such officers, employees, professional advisers, consultants, and actual finance-providers of itself and its Affiliates (“Representatives”) who have been informed of the confidential nature of the Confidential Information and who have a need to know such Confidential Information solely for the purpose of this Agreement; provided that each Party may disclose the terms of this Agreement to potential finance-providers, acquirers and sublicensees in connection with an applicable financing or acquisition of or sublicense by such Party. Prior to disclosure to such persons, the Party in receipt of the Confidential Information shall bind its and its Affiliates’ Representatives, potential finance provider, potential acquirer and/or potential sublicensee (as applicable) to confidentiality and non-use obligations no less stringent than those set forth herein and shall be fully responsible and liable for all acts and omissions of such persons in violation of this Clause 13. The Receiving Party shall notify the Disclosing Party as promptly as practicable of any unauthorized use or disclosure of the Confidential Information. Lonza may disclose Forty Seven’s Confidential Information to Lonza’s Affiliates and the External Laboratories, in each case who have a need to know such Confidential Information for the purposes of this Agreement and who are bound by written confidentiality and non-use obligations no less protective than those set forth herein.</w:t>
      </w:r>
    </w:p>
    <w:p>
      <w:pPr>
        <w:spacing w:after="0" w:line="85" w:lineRule="exact"/>
        <w:rPr>
          <w:sz w:val="20"/>
          <w:szCs w:val="20"/>
          <w:color w:val="auto"/>
        </w:rPr>
      </w:pPr>
    </w:p>
    <w:p>
      <w:pPr>
        <w:ind w:left="1480" w:hanging="796"/>
        <w:spacing w:after="0" w:line="277" w:lineRule="auto"/>
        <w:tabs>
          <w:tab w:leader="none" w:pos="14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The Receiving Party shall at any time be fully liable for any and all breaches of the confidentiality obligations in this Clause 13 by any of its Affiliates or the employees, consultants and representatives of itself or its Affiliates</w:t>
      </w:r>
    </w:p>
    <w:p>
      <w:pPr>
        <w:spacing w:after="0" w:line="76" w:lineRule="exact"/>
        <w:rPr>
          <w:sz w:val="20"/>
          <w:szCs w:val="20"/>
          <w:color w:val="auto"/>
        </w:rPr>
      </w:pPr>
    </w:p>
    <w:p>
      <w:pPr>
        <w:ind w:left="1480" w:right="20" w:hanging="796"/>
        <w:spacing w:after="0" w:line="257" w:lineRule="auto"/>
        <w:tabs>
          <w:tab w:leader="none" w:pos="14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Each Party hereto expressly agrees that any breach or threatened breach of the undertakings of confidentiality provided under this Clause 13 by a Party may cause irreparable harm to the other Party and that money damages may not provide a sufficient remedy to the non-breaching Party for any breach or threatened breach. In the event of any breach and/or threatened breach, then, in addition to all other remedies available at law or in equity, the non-breaching party shall be entitled to seek injunctive relief and any other relief deemed appropriate by the non-breaching Party.</w:t>
      </w:r>
    </w:p>
    <w:p>
      <w:pPr>
        <w:spacing w:after="0" w:line="333" w:lineRule="exact"/>
        <w:rPr>
          <w:sz w:val="20"/>
          <w:szCs w:val="20"/>
          <w:color w:val="auto"/>
        </w:rPr>
      </w:pPr>
    </w:p>
    <w:p>
      <w:pPr>
        <w:ind w:left="680" w:hanging="672"/>
        <w:spacing w:after="0"/>
        <w:tabs>
          <w:tab w:leader="none" w:pos="680"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34" w:lineRule="exact"/>
        <w:rPr>
          <w:rFonts w:ascii="Arial" w:cs="Arial" w:eastAsia="Arial" w:hAnsi="Arial"/>
          <w:sz w:val="18"/>
          <w:szCs w:val="18"/>
          <w:b w:val="1"/>
          <w:bCs w:val="1"/>
          <w:color w:val="auto"/>
        </w:rPr>
      </w:pPr>
    </w:p>
    <w:p>
      <w:pPr>
        <w:ind w:left="1480" w:right="100" w:hanging="797"/>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14.1</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Effective Date and shall end on the later of the completion of the final cGMP Batch to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manufactured within the Assigned Capacity or the fifth (5</w:t>
      </w:r>
      <w:r>
        <w:rPr>
          <w:rFonts w:ascii="Arial" w:cs="Arial" w:eastAsia="Arial" w:hAnsi="Arial"/>
          <w:sz w:val="15"/>
          <w:szCs w:val="15"/>
          <w:color w:val="auto"/>
        </w:rPr>
        <w:t>th</w:t>
      </w:r>
      <w:r>
        <w:rPr>
          <w:rFonts w:ascii="Arial" w:cs="Arial" w:eastAsia="Arial" w:hAnsi="Arial"/>
          <w:sz w:val="18"/>
          <w:szCs w:val="18"/>
          <w:color w:val="auto"/>
        </w:rPr>
        <w:t>) anniversary of the Effective Date in 2021 unless terminated earlier as provided herein or extended by mutual written consent of the Parties or otherwise in accordance with the terms of this Agreement (the “Term”). The Term may be extended by Forty Seven at its sole option and discretion for a further period of one (1) year by providing written notice of such extension to Lonza, such notice shall be provided no later than [*] and the Parties shall execute a written amendment for such extension.</w:t>
      </w:r>
    </w:p>
    <w:p>
      <w:pPr>
        <w:spacing w:after="0" w:line="126" w:lineRule="exact"/>
        <w:rPr>
          <w:sz w:val="20"/>
          <w:szCs w:val="20"/>
          <w:color w:val="auto"/>
        </w:rPr>
      </w:pPr>
    </w:p>
    <w:p>
      <w:pPr>
        <w:ind w:right="700" w:firstLine="8"/>
        <w:spacing w:after="0" w:line="277" w:lineRule="auto"/>
        <w:tabs>
          <w:tab w:leader="none" w:pos="255"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882" w:right="27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4">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as follows</w:t>
      </w:r>
    </w:p>
    <w:p>
      <w:pPr>
        <w:spacing w:after="0" w:line="131" w:lineRule="exact"/>
        <w:rPr>
          <w:sz w:val="20"/>
          <w:szCs w:val="20"/>
          <w:color w:val="auto"/>
        </w:rPr>
      </w:pPr>
    </w:p>
    <w:p>
      <w:pPr>
        <w:jc w:val="center"/>
        <w:ind w:left="1380"/>
        <w:spacing w:after="0"/>
        <w:tabs>
          <w:tab w:leader="none" w:pos="20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6"/>
          <w:szCs w:val="16"/>
          <w:color w:val="auto"/>
        </w:rPr>
        <w:t>by either Party if the other Party breaches a material provision of this Agreement or a Project Plan and fails to cure such breach</w:t>
      </w:r>
    </w:p>
    <w:p>
      <w:pPr>
        <w:spacing w:after="0" w:line="23" w:lineRule="exact"/>
        <w:rPr>
          <w:sz w:val="20"/>
          <w:szCs w:val="20"/>
          <w:color w:val="auto"/>
        </w:rPr>
      </w:pPr>
    </w:p>
    <w:p>
      <w:pPr>
        <w:ind w:left="2160" w:right="60"/>
        <w:spacing w:after="0" w:line="292" w:lineRule="auto"/>
        <w:rPr>
          <w:sz w:val="20"/>
          <w:szCs w:val="20"/>
          <w:color w:val="auto"/>
        </w:rPr>
      </w:pPr>
      <w:r>
        <w:rPr>
          <w:rFonts w:ascii="Arial" w:cs="Arial" w:eastAsia="Arial" w:hAnsi="Arial"/>
          <w:sz w:val="16"/>
          <w:szCs w:val="16"/>
          <w:color w:val="auto"/>
        </w:rPr>
        <w:t>to the reasonable satisfaction of the non-breaching Party within [*] days ([*] days for non-payment) following written notification of such breach from the non-breaching party to the breaching party; provided, however, that such [*] day period shall be extended as agreed by the Parties if the identified breach is incapable of cure within [*] days and if the breaching Party provides a plan and timeline to cure the breach, promptly commences efforts to cure the breach and diligently prosecutes such cure (it being understood that this extended period shall be unavailable for any breach regarding non-payment);</w:t>
      </w:r>
    </w:p>
    <w:p>
      <w:pPr>
        <w:spacing w:after="0" w:line="68" w:lineRule="exact"/>
        <w:rPr>
          <w:sz w:val="20"/>
          <w:szCs w:val="20"/>
          <w:color w:val="auto"/>
        </w:rPr>
      </w:pPr>
    </w:p>
    <w:p>
      <w:pPr>
        <w:ind w:left="2160" w:hanging="674"/>
        <w:spacing w:after="0" w:line="264" w:lineRule="auto"/>
        <w:tabs>
          <w:tab w:leader="none" w:pos="2140" w:val="left"/>
        </w:tabs>
        <w:rPr>
          <w:sz w:val="20"/>
          <w:szCs w:val="20"/>
          <w:color w:val="auto"/>
        </w:rPr>
      </w:pPr>
      <w:r>
        <w:rPr>
          <w:rFonts w:ascii="Arial" w:cs="Arial" w:eastAsia="Arial" w:hAnsi="Arial"/>
          <w:sz w:val="18"/>
          <w:szCs w:val="18"/>
          <w:color w:val="auto"/>
        </w:rPr>
        <w:t>14.2.2</w:t>
        <w:tab/>
        <w:t>by either Party, immediately, if the other Party enters into administration, is declared insolvent, is dissolved or liquidated, makes a general assignment for the benefit of its creditors, or files or has filed against it, a petition in bankruptcy or has an administrator or receiver appointed for a substantial part of its assets;</w:t>
      </w:r>
    </w:p>
    <w:p>
      <w:pPr>
        <w:spacing w:after="0" w:line="87"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6"/>
          <w:szCs w:val="16"/>
          <w:color w:val="auto"/>
        </w:rPr>
        <w:t>by either Party pursuant to Clause 15;</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18"/>
          <w:szCs w:val="18"/>
          <w:color w:val="auto"/>
        </w:rPr>
        <w:t>14.2.4</w:t>
      </w:r>
      <w:r>
        <w:rPr>
          <w:sz w:val="20"/>
          <w:szCs w:val="20"/>
          <w:color w:val="auto"/>
        </w:rPr>
        <w:tab/>
      </w:r>
      <w:r>
        <w:rPr>
          <w:rFonts w:ascii="Arial" w:cs="Arial" w:eastAsia="Arial" w:hAnsi="Arial"/>
          <w:sz w:val="16"/>
          <w:szCs w:val="16"/>
          <w:color w:val="auto"/>
        </w:rPr>
        <w:t>by Customer for any reason upon providing a written notice of no less than [*] to Lonza.</w:t>
      </w:r>
    </w:p>
    <w:p>
      <w:pPr>
        <w:spacing w:after="0" w:line="13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u w:val="single" w:color="auto"/>
          <w:color w:val="auto"/>
        </w:rPr>
        <w:t>Consequences of Termination</w:t>
      </w:r>
      <w:r>
        <w:rPr>
          <w:rFonts w:ascii="Arial" w:cs="Arial" w:eastAsia="Arial" w:hAnsi="Arial"/>
          <w:sz w:val="16"/>
          <w:szCs w:val="16"/>
          <w:color w:val="auto"/>
        </w:rPr>
        <w:t>. ln the event of termination of this Agreement and subject to always to Clauses 8.5,14.4 and 14.5:</w:t>
      </w:r>
    </w:p>
    <w:p>
      <w:pPr>
        <w:spacing w:after="0" w:line="131" w:lineRule="exact"/>
        <w:rPr>
          <w:sz w:val="20"/>
          <w:szCs w:val="20"/>
          <w:color w:val="auto"/>
        </w:rPr>
      </w:pPr>
    </w:p>
    <w:p>
      <w:pPr>
        <w:ind w:left="2160" w:right="180" w:hanging="674"/>
        <w:spacing w:after="0" w:line="259" w:lineRule="auto"/>
        <w:tabs>
          <w:tab w:leader="none" w:pos="2140" w:val="left"/>
        </w:tabs>
        <w:rPr>
          <w:sz w:val="20"/>
          <w:szCs w:val="20"/>
          <w:color w:val="auto"/>
        </w:rPr>
      </w:pPr>
      <w:r>
        <w:rPr>
          <w:rFonts w:ascii="Arial" w:cs="Arial" w:eastAsia="Arial" w:hAnsi="Arial"/>
          <w:sz w:val="18"/>
          <w:szCs w:val="18"/>
          <w:color w:val="auto"/>
        </w:rPr>
        <w:t>14.3.1</w:t>
        <w:tab/>
        <w:t>all Batches scheduled or in-process with respect to any Product on the effective date of termination shall be deemed to have been cancelled, unless this Agreement is terminated by Forty Seven under Clause 14.2.1 or 14.2.2, in which case Forty Seven may elect, by provision of written notice to Lonza, for Lonza to complete manufacture of and deliver in accordance with the terms of this Agreement any such cGMP Batch in-process;</w:t>
      </w:r>
    </w:p>
    <w:p>
      <w:pPr>
        <w:spacing w:after="0" w:line="92"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18"/>
          <w:szCs w:val="18"/>
          <w:color w:val="auto"/>
        </w:rPr>
        <w:t>14.3.2</w:t>
      </w:r>
      <w:r>
        <w:rPr>
          <w:sz w:val="20"/>
          <w:szCs w:val="20"/>
          <w:color w:val="auto"/>
        </w:rPr>
        <w:tab/>
      </w:r>
      <w:r>
        <w:rPr>
          <w:rFonts w:ascii="Arial" w:cs="Arial" w:eastAsia="Arial" w:hAnsi="Arial"/>
          <w:sz w:val="16"/>
          <w:szCs w:val="16"/>
          <w:color w:val="auto"/>
        </w:rPr>
        <w:t>Subject to the other terms of this Agreement, within [*] days of receipt of an invoice therefor, Lonza shall be compensated for:</w:t>
      </w:r>
    </w:p>
    <w:p>
      <w:pPr>
        <w:spacing w:after="0" w:line="131" w:lineRule="exact"/>
        <w:rPr>
          <w:sz w:val="20"/>
          <w:szCs w:val="20"/>
          <w:color w:val="auto"/>
        </w:rPr>
      </w:pPr>
    </w:p>
    <w:p>
      <w:pPr>
        <w:ind w:left="2960" w:right="260" w:hanging="791"/>
        <w:spacing w:after="0" w:line="277" w:lineRule="auto"/>
        <w:tabs>
          <w:tab w:leader="none" w:pos="29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all Services rendered in accordance with this Agreement up to the date of termination, including in respect of any Product in process; and</w:t>
      </w:r>
    </w:p>
    <w:p>
      <w:pPr>
        <w:spacing w:after="0" w:line="75" w:lineRule="exact"/>
        <w:rPr>
          <w:rFonts w:ascii="Arial" w:cs="Arial" w:eastAsia="Arial" w:hAnsi="Arial"/>
          <w:sz w:val="18"/>
          <w:szCs w:val="18"/>
          <w:color w:val="auto"/>
        </w:rPr>
      </w:pPr>
    </w:p>
    <w:p>
      <w:pPr>
        <w:ind w:left="2960" w:right="80" w:hanging="791"/>
        <w:spacing w:after="0" w:line="264" w:lineRule="auto"/>
        <w:tabs>
          <w:tab w:leader="none" w:pos="29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all costs through the date of termination, including Raw Materials costs and Raw Materials Fees for Raw Materials used or purchased for use in connection with the Project Plan (as set forth in Section 2.6), in each case, to the extent such costs were incurred in accordance with this Agreement.</w:t>
      </w:r>
    </w:p>
    <w:p>
      <w:pPr>
        <w:spacing w:after="0" w:line="87" w:lineRule="exact"/>
        <w:rPr>
          <w:sz w:val="20"/>
          <w:szCs w:val="20"/>
          <w:color w:val="auto"/>
        </w:rPr>
      </w:pPr>
    </w:p>
    <w:p>
      <w:pPr>
        <w:ind w:left="2160" w:right="140" w:hanging="674"/>
        <w:spacing w:after="0" w:line="286" w:lineRule="auto"/>
        <w:tabs>
          <w:tab w:leader="none" w:pos="2140" w:val="left"/>
        </w:tabs>
        <w:rPr>
          <w:sz w:val="20"/>
          <w:szCs w:val="20"/>
          <w:color w:val="auto"/>
        </w:rPr>
      </w:pPr>
      <w:r>
        <w:rPr>
          <w:rFonts w:ascii="Arial" w:cs="Arial" w:eastAsia="Arial" w:hAnsi="Arial"/>
          <w:sz w:val="18"/>
          <w:szCs w:val="18"/>
          <w:color w:val="auto"/>
        </w:rPr>
        <w:t>14.3.3</w:t>
      </w:r>
      <w:r>
        <w:rPr>
          <w:sz w:val="20"/>
          <w:szCs w:val="20"/>
          <w:color w:val="auto"/>
        </w:rPr>
        <w:tab/>
      </w:r>
      <w:r>
        <w:rPr>
          <w:rFonts w:ascii="Arial" w:cs="Arial" w:eastAsia="Arial" w:hAnsi="Arial"/>
          <w:sz w:val="17"/>
          <w:szCs w:val="17"/>
          <w:color w:val="auto"/>
        </w:rPr>
        <w:t>Provided that Forty Seven has made all payments to Lonza in accordance with this Agreement, upon termination or expiration all unused Raw Materials and Forty Seven Materials and Product created pursuant to this Agreement shall, at Forty Seven’s election, be delivered to Customer or disposed of by Lonza and in each case, at cost to Forty Seven.</w:t>
      </w:r>
    </w:p>
    <w:p>
      <w:pPr>
        <w:spacing w:after="0" w:line="71" w:lineRule="exact"/>
        <w:rPr>
          <w:sz w:val="20"/>
          <w:szCs w:val="20"/>
          <w:color w:val="auto"/>
        </w:rPr>
      </w:pPr>
    </w:p>
    <w:p>
      <w:pPr>
        <w:ind w:left="1480" w:right="760" w:hanging="796"/>
        <w:spacing w:after="0" w:line="277" w:lineRule="auto"/>
        <w:tabs>
          <w:tab w:leader="none" w:pos="14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ln the event of termination of this Agreement by Lonza pursuant to Clause 14.2.1 or 14.2.2, then in addition to Clause 14.3, [*] terminated by Lonza in accordance with Clause 14.2.1 or 14.2.2.</w:t>
      </w:r>
    </w:p>
    <w:p>
      <w:pPr>
        <w:spacing w:after="0" w:line="76" w:lineRule="exact"/>
        <w:rPr>
          <w:sz w:val="20"/>
          <w:szCs w:val="20"/>
          <w:color w:val="auto"/>
        </w:rPr>
      </w:pPr>
    </w:p>
    <w:p>
      <w:pPr>
        <w:jc w:val="right"/>
        <w:ind w:left="680" w:right="360"/>
        <w:spacing w:after="0" w:line="274" w:lineRule="auto"/>
        <w:rPr>
          <w:sz w:val="20"/>
          <w:szCs w:val="20"/>
          <w:color w:val="auto"/>
        </w:rPr>
      </w:pPr>
      <w:r>
        <w:rPr>
          <w:rFonts w:ascii="Arial" w:cs="Arial" w:eastAsia="Arial" w:hAnsi="Arial"/>
          <w:sz w:val="17"/>
          <w:szCs w:val="17"/>
          <w:color w:val="auto"/>
        </w:rPr>
        <w:t>14.5     ln the event of termination of this Agreement by Forty Seven pursuant to Clause 14.2.4, then [*] in accordance with the terms of this Agreement and [*] obligations hereunder [*] until the earliest of [*] terminated by Forty Seven in accordance with Clause 14.2.4, or</w:t>
      </w:r>
    </w:p>
    <w:p>
      <w:pPr>
        <w:ind w:left="1800" w:hanging="320"/>
        <w:spacing w:after="0"/>
        <w:tabs>
          <w:tab w:leader="none" w:pos="180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the termination of this Agreement in accordance with the terms of Clause 14.2].</w:t>
      </w:r>
    </w:p>
    <w:p>
      <w:pPr>
        <w:spacing w:after="0" w:line="143" w:lineRule="exact"/>
        <w:rPr>
          <w:rFonts w:ascii="Arial" w:cs="Arial" w:eastAsia="Arial" w:hAnsi="Arial"/>
          <w:sz w:val="18"/>
          <w:szCs w:val="18"/>
          <w:color w:val="auto"/>
        </w:rPr>
      </w:pPr>
    </w:p>
    <w:p>
      <w:pPr>
        <w:ind w:right="700" w:firstLine="8"/>
        <w:spacing w:after="0" w:line="277" w:lineRule="auto"/>
        <w:tabs>
          <w:tab w:leader="none" w:pos="255" w:val="left"/>
        </w:tabs>
        <w:numPr>
          <w:ilvl w:val="0"/>
          <w:numId w:val="50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881" w:right="27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6">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1480" w:right="100" w:hanging="796"/>
        <w:spacing w:after="0" w:line="257" w:lineRule="auto"/>
        <w:tabs>
          <w:tab w:leader="none" w:pos="146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 Expiration or termination of this Agreement for any reason shall not release any Party hereto from any obligation or liability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which, as of the effective date of termination, has already accrued to the other Party or which is attributable to a period prior to the effective date of termination nor preclude either Party from pursuing all rights and remedies it may have hereunder or at law or in equity with respect to any breach of this Agreement. Except as set forth in this Section 14.6 or 14.7, upon expiration or termination this Agreement shall be of no further force or effect.</w:t>
      </w:r>
    </w:p>
    <w:p>
      <w:pPr>
        <w:spacing w:after="0" w:line="94" w:lineRule="exact"/>
        <w:rPr>
          <w:sz w:val="20"/>
          <w:szCs w:val="20"/>
          <w:color w:val="auto"/>
        </w:rPr>
      </w:pPr>
    </w:p>
    <w:p>
      <w:pPr>
        <w:ind w:left="1480" w:right="440" w:hanging="796"/>
        <w:spacing w:after="0" w:line="277" w:lineRule="auto"/>
        <w:tabs>
          <w:tab w:leader="none" w:pos="146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Clauses 2.5, 2.9 (the last sentence thereof), 5, 7, 9, 10, 11.1.6, 11.2.5, 12, 13, 14, 15, and 16 shall survive the expiration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termination of this Agreement.</w:t>
      </w:r>
    </w:p>
    <w:p>
      <w:pPr>
        <w:spacing w:after="0" w:line="315" w:lineRule="exact"/>
        <w:rPr>
          <w:sz w:val="20"/>
          <w:szCs w:val="20"/>
          <w:color w:val="auto"/>
        </w:rPr>
      </w:pPr>
    </w:p>
    <w:p>
      <w:pPr>
        <w:ind w:left="680" w:hanging="672"/>
        <w:spacing w:after="0"/>
        <w:tabs>
          <w:tab w:leader="none" w:pos="680"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34" w:lineRule="exact"/>
        <w:rPr>
          <w:rFonts w:ascii="Arial" w:cs="Arial" w:eastAsia="Arial" w:hAnsi="Arial"/>
          <w:sz w:val="18"/>
          <w:szCs w:val="18"/>
          <w:b w:val="1"/>
          <w:bCs w:val="1"/>
          <w:color w:val="auto"/>
        </w:rPr>
      </w:pPr>
    </w:p>
    <w:p>
      <w:pPr>
        <w:ind w:left="1480" w:right="40" w:hanging="797"/>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15.1</w:t>
      </w:r>
      <w:r>
        <w:rPr>
          <w:rFonts w:ascii="Arial" w:cs="Arial" w:eastAsia="Arial" w:hAnsi="Arial"/>
          <w:sz w:val="17"/>
          <w:szCs w:val="17"/>
          <w:color w:val="auto"/>
        </w:rPr>
        <w:t>lf Lonza is prevented or delayed in the performance of any of its obligations under the Agreement by Force Majeure and gives written notice thereof to Forty Seven specifying the matters constituting Force Majeure together with such evidence as Lonza reasonably can give and specifying the period for which it is estimated that such prevention or delay will continue, Lonza shall be excused from the performance or the punctual performance of such obligations as the case may be from the date of such notice for so long as such cause of prevention or delay shall continue. In such event, Forty Seven’s obligations under Clause B shall be suspended for so long as such Force Majeure shall continue. Provided that, if such Force Majeure persists for a period of [*] months or more, either Party may terminate this Agreement by delivering written notice to the other Party.</w:t>
      </w:r>
    </w:p>
    <w:p>
      <w:pPr>
        <w:spacing w:after="0" w:line="83" w:lineRule="exact"/>
        <w:rPr>
          <w:rFonts w:ascii="Arial" w:cs="Arial" w:eastAsia="Arial" w:hAnsi="Arial"/>
          <w:sz w:val="18"/>
          <w:szCs w:val="18"/>
          <w:b w:val="1"/>
          <w:bCs w:val="1"/>
          <w:color w:val="auto"/>
        </w:rPr>
      </w:pPr>
    </w:p>
    <w:p>
      <w:pPr>
        <w:ind w:left="1480" w:right="100" w:hanging="797"/>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15.2</w:t>
      </w:r>
      <w:r>
        <w:rPr>
          <w:rFonts w:ascii="Arial" w:cs="Arial" w:eastAsia="Arial" w:hAnsi="Arial"/>
          <w:sz w:val="17"/>
          <w:szCs w:val="17"/>
          <w:color w:val="auto"/>
        </w:rPr>
        <w:t>“Force Majeure” shall be deemed to include any reason or cause beyond Lonza’s reasonable control affecting the performance by Lonza of its obligations under the Agreement, including, but not limited to, any cause arising from or attributable to acts of God, strike, lockouts, labor troubles, restrictive governmental orders or decrees, riots, insurrection, war, terrorists acts, or the inability of Lonza to obtain any required raw material, energy source, equipment, labor or transportation.</w:t>
      </w:r>
    </w:p>
    <w:p>
      <w:pPr>
        <w:spacing w:after="0" w:line="76" w:lineRule="exact"/>
        <w:rPr>
          <w:rFonts w:ascii="Arial" w:cs="Arial" w:eastAsia="Arial" w:hAnsi="Arial"/>
          <w:sz w:val="18"/>
          <w:szCs w:val="18"/>
          <w:b w:val="1"/>
          <w:bCs w:val="1"/>
          <w:color w:val="auto"/>
        </w:rPr>
      </w:pPr>
    </w:p>
    <w:p>
      <w:pPr>
        <w:ind w:left="1480" w:right="140" w:hanging="797"/>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15.3With regard to Lonza, any such event of Force Majeure affecting services or production at its Affiliates or suppliers shall be regarded as an event of Force Majeure.</w:t>
      </w:r>
    </w:p>
    <w:p>
      <w:pPr>
        <w:spacing w:after="0" w:line="315" w:lineRule="exact"/>
        <w:rPr>
          <w:rFonts w:ascii="Arial" w:cs="Arial" w:eastAsia="Arial" w:hAnsi="Arial"/>
          <w:sz w:val="18"/>
          <w:szCs w:val="18"/>
          <w:b w:val="1"/>
          <w:bCs w:val="1"/>
          <w:color w:val="auto"/>
        </w:rPr>
      </w:pPr>
    </w:p>
    <w:p>
      <w:pPr>
        <w:ind w:left="680" w:hanging="672"/>
        <w:spacing w:after="0"/>
        <w:tabs>
          <w:tab w:leader="none" w:pos="680"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4" w:lineRule="exact"/>
        <w:rPr>
          <w:rFonts w:ascii="Arial" w:cs="Arial" w:eastAsia="Arial" w:hAnsi="Arial"/>
          <w:sz w:val="18"/>
          <w:szCs w:val="18"/>
          <w:b w:val="1"/>
          <w:bCs w:val="1"/>
          <w:color w:val="auto"/>
        </w:rPr>
      </w:pPr>
    </w:p>
    <w:p>
      <w:pPr>
        <w:ind w:left="1480" w:right="100" w:hanging="79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16.1</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hereof is or becomes at any time illegal, invalid or unenforceable in any respect, neither the legality,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validity nor enforceability of the remaining provisions hereof shall in any way be affected or impaired thereby. The Parties hereto undertake to substitute any illegal, invalid or unenforceable provision by a provision which is as far as possible commercially equivalent considering the legal interests and the purpose.</w:t>
      </w:r>
    </w:p>
    <w:p>
      <w:pPr>
        <w:spacing w:after="0" w:line="92"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16.2</w:t>
      </w:r>
      <w:r>
        <w:rPr>
          <w:rFonts w:ascii="Arial" w:cs="Arial" w:eastAsia="Arial" w:hAnsi="Arial"/>
          <w:sz w:val="16"/>
          <w:szCs w:val="16"/>
          <w:u w:val="single" w:color="auto"/>
          <w:color w:val="auto"/>
        </w:rPr>
        <w:t>Amendments</w:t>
      </w:r>
      <w:r>
        <w:rPr>
          <w:rFonts w:ascii="Arial" w:cs="Arial" w:eastAsia="Arial" w:hAnsi="Arial"/>
          <w:sz w:val="16"/>
          <w:szCs w:val="16"/>
          <w:color w:val="auto"/>
        </w:rPr>
        <w:t>. Modifications and/or amendments of this Agreement must be in writing and signed by the Parties.</w:t>
      </w:r>
    </w:p>
    <w:p>
      <w:pPr>
        <w:spacing w:after="0" w:line="130" w:lineRule="exact"/>
        <w:rPr>
          <w:rFonts w:ascii="Arial" w:cs="Arial" w:eastAsia="Arial" w:hAnsi="Arial"/>
          <w:sz w:val="18"/>
          <w:szCs w:val="18"/>
          <w:b w:val="1"/>
          <w:bCs w:val="1"/>
          <w:color w:val="auto"/>
        </w:rPr>
      </w:pPr>
    </w:p>
    <w:p>
      <w:pPr>
        <w:ind w:left="1480" w:hanging="797"/>
        <w:spacing w:after="0" w:line="312" w:lineRule="auto"/>
        <w:rPr>
          <w:rFonts w:ascii="Arial" w:cs="Arial" w:eastAsia="Arial" w:hAnsi="Arial"/>
          <w:sz w:val="18"/>
          <w:szCs w:val="18"/>
          <w:b w:val="1"/>
          <w:bCs w:val="1"/>
          <w:color w:val="auto"/>
        </w:rPr>
      </w:pPr>
      <w:r>
        <w:rPr>
          <w:rFonts w:ascii="Arial" w:cs="Arial" w:eastAsia="Arial" w:hAnsi="Arial"/>
          <w:sz w:val="18"/>
          <w:szCs w:val="18"/>
          <w:color w:val="auto"/>
        </w:rPr>
        <w:t>16.3</w:t>
      </w:r>
      <w:r>
        <w:rPr>
          <w:rFonts w:ascii="Arial" w:cs="Arial" w:eastAsia="Arial" w:hAnsi="Arial"/>
          <w:sz w:val="16"/>
          <w:szCs w:val="16"/>
          <w:u w:val="single" w:color="auto"/>
          <w:color w:val="auto"/>
        </w:rPr>
        <w:t>Performance by Affiliates</w:t>
      </w:r>
      <w:r>
        <w:rPr>
          <w:rFonts w:ascii="Arial" w:cs="Arial" w:eastAsia="Arial" w:hAnsi="Arial"/>
          <w:sz w:val="16"/>
          <w:szCs w:val="16"/>
          <w:color w:val="auto"/>
        </w:rPr>
        <w:t>. Lonza shall be entitled to instruct one or more of its Affiliates to perform any of Lonza’s obligations contained</w:t>
      </w:r>
      <w:r>
        <w:rPr>
          <w:rFonts w:ascii="Arial" w:cs="Arial" w:eastAsia="Arial" w:hAnsi="Arial"/>
          <w:sz w:val="16"/>
          <w:szCs w:val="16"/>
          <w:u w:val="single" w:color="auto"/>
          <w:color w:val="auto"/>
        </w:rPr>
        <w:t xml:space="preserve"> </w:t>
      </w:r>
      <w:r>
        <w:rPr>
          <w:rFonts w:ascii="Arial" w:cs="Arial" w:eastAsia="Arial" w:hAnsi="Arial"/>
          <w:sz w:val="16"/>
          <w:szCs w:val="16"/>
          <w:color w:val="auto"/>
        </w:rPr>
        <w:t>in this Agreement, but Lonza shall remain fully responsible in respect of those obligations and shall be responsible for any action or omission of such Affiliate that would constitute a breach of this Agreement had such action or omission been conducted by Lonza itself.</w:t>
      </w:r>
    </w:p>
    <w:p>
      <w:pPr>
        <w:spacing w:after="0" w:line="79" w:lineRule="exact"/>
        <w:rPr>
          <w:sz w:val="20"/>
          <w:szCs w:val="20"/>
          <w:color w:val="auto"/>
        </w:rPr>
      </w:pPr>
    </w:p>
    <w:p>
      <w:pPr>
        <w:ind w:right="720" w:firstLine="8"/>
        <w:spacing w:after="0" w:line="277" w:lineRule="auto"/>
        <w:tabs>
          <w:tab w:leader="none" w:pos="255"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81" w:right="259"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1480" w:right="120" w:hanging="796"/>
        <w:spacing w:after="0" w:line="272" w:lineRule="auto"/>
        <w:tabs>
          <w:tab w:leader="none" w:pos="14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7"/>
          <w:szCs w:val="17"/>
          <w:u w:val="single" w:color="auto"/>
          <w:color w:val="auto"/>
        </w:rPr>
        <w:t>Assignment</w:t>
      </w:r>
      <w:r>
        <w:rPr>
          <w:rFonts w:ascii="Arial" w:cs="Arial" w:eastAsia="Arial" w:hAnsi="Arial"/>
          <w:sz w:val="17"/>
          <w:szCs w:val="17"/>
          <w:color w:val="auto"/>
        </w:rPr>
        <w:t>. Neither Party shall be entitled to assign, transfer, charge or in any way make over the benefit and/or the burden of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without the prior written consent of the other which consent shall not be unreasonably withheld or delayed, save that Lonza shall be entitled without the prior written consent of the Licensee to assign, transfer, charge, sub-contract, deal with or in any other manner make over the benefit and/or burden of this Agreement (i) to an Affiliate or (ii) to any joint venture company of which Lonza is the beneficial owner of at least fifty per cent (50%) of the issued share capital thereof or (iii) to any company with which Lonza may merge or (iv) to any company to which Lonza may transfer substantially all of its business or assets and undertakings. Notwithstanding the foregoing, Forty Seven may, [*], assign this Agreement to [*].</w:t>
      </w:r>
    </w:p>
    <w:p>
      <w:pPr>
        <w:spacing w:after="0" w:line="83" w:lineRule="exact"/>
        <w:rPr>
          <w:sz w:val="20"/>
          <w:szCs w:val="20"/>
          <w:color w:val="auto"/>
        </w:rPr>
      </w:pPr>
    </w:p>
    <w:p>
      <w:pPr>
        <w:jc w:val="both"/>
        <w:ind w:left="1480" w:right="260" w:hanging="796"/>
        <w:spacing w:after="0" w:line="259" w:lineRule="auto"/>
        <w:tabs>
          <w:tab w:leader="none" w:pos="146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u w:val="single" w:color="auto"/>
          <w:color w:val="auto"/>
        </w:rPr>
        <w:t>Notice</w:t>
      </w:r>
      <w:r>
        <w:rPr>
          <w:rFonts w:ascii="Arial" w:cs="Arial" w:eastAsia="Arial" w:hAnsi="Arial"/>
          <w:sz w:val="18"/>
          <w:szCs w:val="18"/>
          <w:color w:val="auto"/>
        </w:rPr>
        <w:t>. All notices must be written and sent to the address of the Party first set forth above. All notices must be given (a) by personal</w:t>
      </w:r>
      <w:r>
        <w:rPr>
          <w:rFonts w:ascii="Arial" w:cs="Arial" w:eastAsia="Arial" w:hAnsi="Arial"/>
          <w:sz w:val="18"/>
          <w:szCs w:val="18"/>
          <w:u w:val="single" w:color="auto"/>
          <w:color w:val="auto"/>
        </w:rPr>
        <w:t xml:space="preserve"> </w:t>
      </w:r>
      <w:r>
        <w:rPr>
          <w:rFonts w:ascii="Arial" w:cs="Arial" w:eastAsia="Arial" w:hAnsi="Arial"/>
          <w:sz w:val="18"/>
          <w:szCs w:val="18"/>
          <w:color w:val="auto"/>
        </w:rPr>
        <w:t>delivery, with receipt acknowledged, (b) by facsimile followed by hard copy delivered by the methods under (c) or (d), (c) by prepaid certified or registered mail, return receipt requested, or (d) by prepaid recognized next business day delivery service. Notices will be effective upon receipt or at a later date stated in the notice.</w:t>
      </w:r>
    </w:p>
    <w:p>
      <w:pPr>
        <w:spacing w:after="0" w:line="92"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u w:val="single" w:color="auto"/>
          <w:color w:val="auto"/>
        </w:rPr>
        <w:t>Governing Law/Jurisdiction</w:t>
      </w:r>
      <w:r>
        <w:rPr>
          <w:rFonts w:ascii="Arial" w:cs="Arial" w:eastAsia="Arial" w:hAnsi="Arial"/>
          <w:sz w:val="16"/>
          <w:szCs w:val="16"/>
          <w:color w:val="auto"/>
        </w:rPr>
        <w:t>.</w:t>
      </w:r>
    </w:p>
    <w:p>
      <w:pPr>
        <w:spacing w:after="0" w:line="131" w:lineRule="exact"/>
        <w:rPr>
          <w:sz w:val="20"/>
          <w:szCs w:val="20"/>
          <w:color w:val="auto"/>
        </w:rPr>
      </w:pPr>
    </w:p>
    <w:p>
      <w:pPr>
        <w:ind w:left="1480"/>
        <w:spacing w:after="0"/>
        <w:tabs>
          <w:tab w:leader="none" w:pos="2140" w:val="left"/>
        </w:tabs>
        <w:rPr>
          <w:sz w:val="20"/>
          <w:szCs w:val="20"/>
          <w:color w:val="auto"/>
        </w:rPr>
      </w:pPr>
      <w:r>
        <w:rPr>
          <w:rFonts w:ascii="Arial" w:cs="Arial" w:eastAsia="Arial" w:hAnsi="Arial"/>
          <w:sz w:val="18"/>
          <w:szCs w:val="18"/>
          <w:color w:val="auto"/>
        </w:rPr>
        <w:t>16.6.1</w:t>
      </w:r>
      <w:r>
        <w:rPr>
          <w:sz w:val="20"/>
          <w:szCs w:val="20"/>
          <w:color w:val="auto"/>
        </w:rPr>
        <w:tab/>
      </w:r>
      <w:r>
        <w:rPr>
          <w:rFonts w:ascii="Arial" w:cs="Arial" w:eastAsia="Arial" w:hAnsi="Arial"/>
          <w:sz w:val="16"/>
          <w:szCs w:val="16"/>
          <w:color w:val="auto"/>
        </w:rPr>
        <w:t>This Agreement is governed in all respects by the laws of the State of New York without regard to its conflict of laws rules.</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Subject to Clause 16.6.2, the Parties agree to submit to the jurisdiction of the courts in the State of New York.</w:t>
      </w:r>
    </w:p>
    <w:p>
      <w:pPr>
        <w:spacing w:after="0" w:line="116" w:lineRule="exact"/>
        <w:rPr>
          <w:sz w:val="20"/>
          <w:szCs w:val="20"/>
          <w:color w:val="auto"/>
        </w:rPr>
      </w:pPr>
    </w:p>
    <w:p>
      <w:pPr>
        <w:ind w:left="2160" w:hanging="674"/>
        <w:spacing w:after="0" w:line="270" w:lineRule="auto"/>
        <w:tabs>
          <w:tab w:leader="none" w:pos="2140" w:val="left"/>
        </w:tabs>
        <w:rPr>
          <w:sz w:val="20"/>
          <w:szCs w:val="20"/>
          <w:color w:val="auto"/>
        </w:rPr>
      </w:pPr>
      <w:r>
        <w:rPr>
          <w:rFonts w:ascii="Arial" w:cs="Arial" w:eastAsia="Arial" w:hAnsi="Arial"/>
          <w:sz w:val="18"/>
          <w:szCs w:val="18"/>
          <w:color w:val="auto"/>
        </w:rPr>
        <w:t>16.6.2</w:t>
      </w:r>
      <w:r>
        <w:rPr>
          <w:sz w:val="20"/>
          <w:szCs w:val="20"/>
          <w:color w:val="auto"/>
        </w:rPr>
        <w:tab/>
      </w:r>
      <w:r>
        <w:rPr>
          <w:rFonts w:ascii="Arial" w:cs="Arial" w:eastAsia="Arial" w:hAnsi="Arial"/>
          <w:sz w:val="17"/>
          <w:szCs w:val="17"/>
          <w:color w:val="auto"/>
        </w:rPr>
        <w:t>Any dispute arising between the Parties under this Agreement will be referred to and finally settled by binding arbitration under the Rules of Arbitration of the International Chamber of Commerce by a single arbitrator knowledgeable in biopharmaceutical research and development related matters and familiar with the biopharmaceutical industry, appointed in accordance with the said Rules. The place of arbitration shall be New York, New York and the arbitration shall be conducted in the English language. The arbitrator’s award shall be final and binding. The Parties covenant and agree that they will participate in the arbitration in good faith and that they will share equally the costs of the arbitration, except as otherwise provided herein. Judgment upon the award rendered in any such arbitration may be entered in any court of competent jurisdiction, or application may be made to such court for a judicial acceptance of the award and an enforcement, as the law of such jurisdiction may require or allow, Notwithstanding the foregoing, nothing in this Clause 16.6 shall prevent either Party from applying to a court of competent jurisdiction for equitable or injunctive relief.</w:t>
      </w:r>
    </w:p>
    <w:p>
      <w:pPr>
        <w:spacing w:after="0" w:line="83" w:lineRule="exact"/>
        <w:rPr>
          <w:sz w:val="20"/>
          <w:szCs w:val="20"/>
          <w:color w:val="auto"/>
        </w:rPr>
      </w:pPr>
    </w:p>
    <w:p>
      <w:pPr>
        <w:ind w:left="1480" w:right="40" w:hanging="796"/>
        <w:spacing w:after="0" w:line="259" w:lineRule="auto"/>
        <w:tabs>
          <w:tab w:leader="none" w:pos="146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u w:val="single" w:color="auto"/>
          <w:color w:val="auto"/>
        </w:rPr>
        <w:t>Rights of Third Parties</w:t>
      </w:r>
      <w:r>
        <w:rPr>
          <w:rFonts w:ascii="Arial" w:cs="Arial" w:eastAsia="Arial" w:hAnsi="Arial"/>
          <w:sz w:val="18"/>
          <w:szCs w:val="18"/>
          <w:color w:val="auto"/>
        </w:rPr>
        <w:t>. The parties to this Agreement do not intend that any term hereof should be enforceable by any person who is not</w:t>
      </w:r>
      <w:r>
        <w:rPr>
          <w:rFonts w:ascii="Arial" w:cs="Arial" w:eastAsia="Arial" w:hAnsi="Arial"/>
          <w:sz w:val="18"/>
          <w:szCs w:val="18"/>
          <w:u w:val="single" w:color="auto"/>
          <w:color w:val="auto"/>
        </w:rPr>
        <w:t xml:space="preserve"> </w:t>
      </w:r>
      <w:r>
        <w:rPr>
          <w:rFonts w:ascii="Arial" w:cs="Arial" w:eastAsia="Arial" w:hAnsi="Arial"/>
          <w:sz w:val="18"/>
          <w:szCs w:val="18"/>
          <w:color w:val="auto"/>
        </w:rPr>
        <w:t>a party to this Agreement, save that Affiliates of Lonza and Affiliates of Forty Seven respectively may rely on the indemnities granted to them and limitations and exclusions of liability contained herein. The Parties may amend this Agreement without the consent of the Affiliates of either Party.</w:t>
      </w:r>
    </w:p>
    <w:p>
      <w:pPr>
        <w:spacing w:after="0" w:line="92" w:lineRule="exact"/>
        <w:rPr>
          <w:sz w:val="20"/>
          <w:szCs w:val="20"/>
          <w:color w:val="auto"/>
        </w:rPr>
      </w:pPr>
    </w:p>
    <w:p>
      <w:pPr>
        <w:ind w:left="1480" w:right="360" w:hanging="796"/>
        <w:spacing w:after="0" w:line="264" w:lineRule="auto"/>
        <w:tabs>
          <w:tab w:leader="none" w:pos="146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u w:val="single" w:color="auto"/>
          <w:color w:val="auto"/>
        </w:rPr>
        <w:t>Announcements / Press Releases</w:t>
      </w:r>
      <w:r>
        <w:rPr>
          <w:rFonts w:ascii="Arial" w:cs="Arial" w:eastAsia="Arial" w:hAnsi="Arial"/>
          <w:sz w:val="18"/>
          <w:szCs w:val="18"/>
          <w:color w:val="auto"/>
        </w:rPr>
        <w:t>. Neither Party shall make any press release or announcement regarding the subject matter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without the prior written consent of the other. The Parties shall use reasonable efforts to issue a joint press release within thirty (30) days of the Effective Date regarding the entry into this Agreement.</w:t>
      </w:r>
    </w:p>
    <w:p>
      <w:pPr>
        <w:spacing w:after="0" w:line="114" w:lineRule="exact"/>
        <w:rPr>
          <w:sz w:val="20"/>
          <w:szCs w:val="20"/>
          <w:color w:val="auto"/>
        </w:rPr>
      </w:pPr>
    </w:p>
    <w:p>
      <w:pPr>
        <w:ind w:right="680" w:firstLine="8"/>
        <w:spacing w:after="0" w:line="277" w:lineRule="auto"/>
        <w:tabs>
          <w:tab w:leader="none" w:pos="255"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881" w:right="299" w:bottom="1440" w:gutter="0" w:footer="0" w:header="0"/>
        </w:sectPr>
      </w:pPr>
    </w:p>
    <w:bookmarkStart w:id="428" w:name="page429"/>
    <w:bookmarkEnd w:id="4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0">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1480" w:right="60" w:hanging="796"/>
        <w:spacing w:after="0" w:line="279" w:lineRule="auto"/>
        <w:tabs>
          <w:tab w:leader="none" w:pos="146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for clarity the Appendices hereto, prior MSA and GS Licence, contains the entire</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between the Parties as to the subject matter hereof and supersedes all prior and contemporaneous agreements solely with respect to the subject matter hereof. To the extent that any inconsistencies or conflicts exist among the terms of this Agreement and the Prior MSA, the order of governance shall be (1) this Agreement and (2) the Prior MSA.</w:t>
      </w:r>
    </w:p>
    <w:p>
      <w:pPr>
        <w:spacing w:after="0" w:line="77" w:lineRule="exact"/>
        <w:rPr>
          <w:sz w:val="20"/>
          <w:szCs w:val="20"/>
          <w:color w:val="auto"/>
        </w:rPr>
      </w:pPr>
    </w:p>
    <w:p>
      <w:pPr>
        <w:ind w:left="1480" w:right="120" w:hanging="796"/>
        <w:spacing w:after="0" w:line="264" w:lineRule="auto"/>
        <w:tabs>
          <w:tab w:leader="none" w:pos="1460" w:val="left"/>
        </w:tabs>
        <w:rPr>
          <w:sz w:val="20"/>
          <w:szCs w:val="20"/>
          <w:color w:val="auto"/>
        </w:rPr>
      </w:pPr>
      <w:r>
        <w:rPr>
          <w:rFonts w:ascii="Arial" w:cs="Arial" w:eastAsia="Arial" w:hAnsi="Arial"/>
          <w:sz w:val="18"/>
          <w:szCs w:val="18"/>
          <w:color w:val="auto"/>
        </w:rPr>
        <w:t>16.10</w:t>
      </w:r>
      <w:r>
        <w:rPr>
          <w:sz w:val="20"/>
          <w:szCs w:val="20"/>
          <w:color w:val="auto"/>
        </w:rPr>
        <w:tab/>
      </w:r>
      <w:r>
        <w:rPr>
          <w:rFonts w:ascii="Arial" w:cs="Arial" w:eastAsia="Arial" w:hAnsi="Arial"/>
          <w:sz w:val="18"/>
          <w:szCs w:val="18"/>
          <w:u w:val="single" w:color="auto"/>
          <w:color w:val="auto"/>
        </w:rPr>
        <w:t>Stage 51</w:t>
      </w:r>
      <w:r>
        <w:rPr>
          <w:rFonts w:ascii="Arial" w:cs="Arial" w:eastAsia="Arial" w:hAnsi="Arial"/>
          <w:sz w:val="18"/>
          <w:szCs w:val="18"/>
          <w:color w:val="auto"/>
        </w:rPr>
        <w:t>. That certain amendment to the Prior MSA for a scope of Services known as “Stage 51” is hereby terminated by the Parties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without incurring any payment obligation to Lonza, notwithstanding any provision of the stage 51 amendment to the contrary, and the Services to be performed thereunder shall be performed under this Agreement.</w:t>
      </w:r>
    </w:p>
    <w:p>
      <w:pPr>
        <w:spacing w:after="0" w:line="87" w:lineRule="exact"/>
        <w:rPr>
          <w:sz w:val="20"/>
          <w:szCs w:val="20"/>
          <w:color w:val="auto"/>
        </w:rPr>
      </w:pPr>
    </w:p>
    <w:p>
      <w:pPr>
        <w:ind w:left="1480" w:hanging="796"/>
        <w:spacing w:after="0" w:line="286" w:lineRule="auto"/>
        <w:tabs>
          <w:tab w:leader="none" w:pos="1460"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deemed to be an original, and 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which together shall constitute one and the same document. Each party acknowledges that an original signature or a copy thereof transmitted by facsimile or by .pdf shall constitute an original signature for purposes of this Agreement.</w:t>
      </w:r>
    </w:p>
    <w:p>
      <w:pPr>
        <w:spacing w:after="0" w:line="98" w:lineRule="exact"/>
        <w:rPr>
          <w:sz w:val="20"/>
          <w:szCs w:val="20"/>
          <w:color w:val="auto"/>
        </w:rPr>
      </w:pPr>
    </w:p>
    <w:p>
      <w:pPr>
        <w:ind w:right="560" w:firstLine="8"/>
        <w:spacing w:after="0" w:line="277" w:lineRule="auto"/>
        <w:tabs>
          <w:tab w:leader="none" w:pos="25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882" w:right="419"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2">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4" w:lineRule="exact"/>
        <w:rPr>
          <w:sz w:val="20"/>
          <w:szCs w:val="20"/>
          <w:color w:val="auto"/>
        </w:rPr>
      </w:pPr>
    </w:p>
    <w:p>
      <w:pPr>
        <w:ind w:left="700" w:right="18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hereto has caused this Agreement to be executed by its duly authorized representative effective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written 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LONZA SALES AG</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Bart A. M. van Aamhem</w:t>
      </w:r>
    </w:p>
    <w:p>
      <w:pPr>
        <w:spacing w:after="0" w:line="23"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5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9"/>
              </w:rPr>
              <w:t>Name</w:t>
            </w:r>
          </w:p>
        </w:tc>
        <w:tc>
          <w:tcPr>
            <w:tcW w:w="3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Bart A. M. van Aamhem</w:t>
            </w:r>
          </w:p>
        </w:tc>
      </w:tr>
      <w:tr>
        <w:trPr>
          <w:trHeight w:val="230"/>
        </w:trPr>
        <w:tc>
          <w:tcPr>
            <w:tcW w:w="26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Title</w:t>
            </w:r>
          </w:p>
        </w:tc>
        <w:tc>
          <w:tcPr>
            <w:tcW w:w="3740" w:type="dxa"/>
            <w:vAlign w:val="bottom"/>
          </w:tcPr>
          <w:p>
            <w:pPr>
              <w:ind w:left="60"/>
              <w:spacing w:after="0"/>
              <w:rPr>
                <w:sz w:val="20"/>
                <w:szCs w:val="20"/>
                <w:color w:val="auto"/>
              </w:rPr>
            </w:pPr>
            <w:r>
              <w:rPr>
                <w:rFonts w:ascii="Arial" w:cs="Arial" w:eastAsia="Arial" w:hAnsi="Arial"/>
                <w:sz w:val="18"/>
                <w:szCs w:val="18"/>
                <w:color w:val="auto"/>
              </w:rPr>
              <w:t>Senior Legal Counsel</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Nadia Zieger</w:t>
            </w:r>
          </w:p>
        </w:tc>
      </w:tr>
      <w:tr>
        <w:trPr>
          <w:trHeight w:val="195"/>
        </w:trPr>
        <w:tc>
          <w:tcPr>
            <w:tcW w:w="260" w:type="dxa"/>
            <w:vAlign w:val="bottom"/>
          </w:tcPr>
          <w:p>
            <w:pPr>
              <w:spacing w:after="0"/>
              <w:rPr>
                <w:sz w:val="16"/>
                <w:szCs w:val="16"/>
                <w:color w:val="auto"/>
              </w:rPr>
            </w:pPr>
          </w:p>
        </w:tc>
        <w:tc>
          <w:tcPr>
            <w:tcW w:w="5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9"/>
              </w:rPr>
              <w:t>Name</w:t>
            </w:r>
          </w:p>
        </w:tc>
        <w:tc>
          <w:tcPr>
            <w:tcW w:w="3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Nadia Zieger</w:t>
            </w:r>
          </w:p>
        </w:tc>
      </w:tr>
      <w:tr>
        <w:trPr>
          <w:trHeight w:val="216"/>
        </w:trPr>
        <w:tc>
          <w:tcPr>
            <w:tcW w:w="26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Title</w:t>
            </w:r>
          </w:p>
        </w:tc>
        <w:tc>
          <w:tcPr>
            <w:tcW w:w="3740" w:type="dxa"/>
            <w:vAlign w:val="bottom"/>
          </w:tcPr>
          <w:p>
            <w:pPr>
              <w:ind w:left="60"/>
              <w:spacing w:after="0"/>
              <w:rPr>
                <w:sz w:val="20"/>
                <w:szCs w:val="20"/>
                <w:color w:val="auto"/>
              </w:rPr>
            </w:pPr>
            <w:r>
              <w:rPr>
                <w:rFonts w:ascii="Arial" w:cs="Arial" w:eastAsia="Arial" w:hAnsi="Arial"/>
                <w:sz w:val="18"/>
                <w:szCs w:val="18"/>
                <w:color w:val="auto"/>
              </w:rPr>
              <w:t>Associate Director</w:t>
            </w:r>
          </w:p>
        </w:tc>
      </w:tr>
      <w:tr>
        <w:trPr>
          <w:trHeight w:val="230"/>
        </w:trPr>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Key Account Management</w:t>
            </w:r>
          </w:p>
        </w:tc>
      </w:tr>
    </w:tbl>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FORTY SEVEN,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Jonathan MacQuitty</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Jonathan MacQuitty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tabs>
          <w:tab w:leader="none" w:pos="7720" w:val="left"/>
        </w:tabs>
        <w:rPr>
          <w:sz w:val="20"/>
          <w:szCs w:val="20"/>
          <w:color w:val="auto"/>
        </w:rPr>
      </w:pPr>
      <w:r>
        <w:rPr>
          <w:rFonts w:ascii="Arial" w:cs="Arial" w:eastAsia="Arial" w:hAnsi="Arial"/>
          <w:sz w:val="18"/>
          <w:szCs w:val="18"/>
          <w:color w:val="auto"/>
        </w:rPr>
        <w:t>Title</w:t>
        <w:tab/>
        <w:t>CEO</w:t>
      </w:r>
    </w:p>
    <w:p>
      <w:pPr>
        <w:spacing w:after="0" w:line="143" w:lineRule="exact"/>
        <w:rPr>
          <w:sz w:val="20"/>
          <w:szCs w:val="20"/>
          <w:color w:val="auto"/>
        </w:rPr>
      </w:pPr>
    </w:p>
    <w:p>
      <w:pPr>
        <w:ind w:right="740" w:firstLine="8"/>
        <w:spacing w:after="0" w:line="277" w:lineRule="auto"/>
        <w:tabs>
          <w:tab w:leader="none" w:pos="25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82" w:right="239" w:bottom="1440" w:gutter="0" w:footer="0" w:header="0"/>
        </w:sectPr>
      </w:pPr>
    </w:p>
    <w:bookmarkStart w:id="430" w:name="page431"/>
    <w:bookmarkEnd w:id="4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5">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jc w:val="center"/>
        <w:ind w:right="-739"/>
        <w:spacing w:after="0"/>
        <w:rPr>
          <w:sz w:val="20"/>
          <w:szCs w:val="20"/>
          <w:color w:val="auto"/>
        </w:rPr>
      </w:pPr>
      <w:r>
        <w:rPr>
          <w:rFonts w:ascii="Arial" w:cs="Arial" w:eastAsia="Arial" w:hAnsi="Arial"/>
          <w:sz w:val="18"/>
          <w:szCs w:val="18"/>
          <w:i w:val="1"/>
          <w:iCs w:val="1"/>
          <w:color w:val="auto"/>
        </w:rPr>
        <w:t>APPENDIX A</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u w:val="single" w:color="auto"/>
          <w:color w:val="auto"/>
        </w:rPr>
        <w:t>Product and Project Plan</w:t>
      </w:r>
    </w:p>
    <w:p>
      <w:pPr>
        <w:spacing w:after="0" w:line="207" w:lineRule="exact"/>
        <w:rPr>
          <w:sz w:val="20"/>
          <w:szCs w:val="20"/>
          <w:color w:val="auto"/>
        </w:rPr>
      </w:pPr>
    </w:p>
    <w:p>
      <w:pPr>
        <w:ind w:left="260" w:hanging="252"/>
        <w:spacing w:after="0"/>
        <w:tabs>
          <w:tab w:leader="none" w:pos="260"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color w:val="auto"/>
        </w:rPr>
        <w:t>(3 pages omitted)</w:t>
      </w:r>
    </w:p>
    <w:p>
      <w:pPr>
        <w:spacing w:after="0" w:line="161" w:lineRule="exact"/>
        <w:rPr>
          <w:rFonts w:ascii="Arial" w:cs="Arial" w:eastAsia="Arial" w:hAnsi="Arial"/>
          <w:sz w:val="18"/>
          <w:szCs w:val="18"/>
          <w:b w:val="1"/>
          <w:bCs w:val="1"/>
          <w:color w:val="auto"/>
        </w:rPr>
      </w:pPr>
    </w:p>
    <w:p>
      <w:pPr>
        <w:ind w:firstLine="8"/>
        <w:spacing w:after="0" w:line="277" w:lineRule="auto"/>
        <w:tabs>
          <w:tab w:leader="none" w:pos="25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680"/>
          </w:cols>
          <w:pgMar w:left="240" w:top="881" w:right="979"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7">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APPENDIX B</w:t>
      </w:r>
    </w:p>
    <w:p>
      <w:pPr>
        <w:spacing w:after="0" w:line="127" w:lineRule="exact"/>
        <w:rPr>
          <w:sz w:val="20"/>
          <w:szCs w:val="20"/>
          <w:color w:val="auto"/>
        </w:rPr>
      </w:pPr>
    </w:p>
    <w:p>
      <w:pPr>
        <w:ind w:left="680" w:hanging="672"/>
        <w:spacing w:after="0"/>
        <w:tabs>
          <w:tab w:leader="none" w:pos="680" w:val="left"/>
        </w:tabs>
        <w:numPr>
          <w:ilvl w:val="0"/>
          <w:numId w:val="51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Price</w:t>
      </w:r>
    </w:p>
    <w:p>
      <w:pPr>
        <w:spacing w:after="0" w:line="117" w:lineRule="exact"/>
        <w:rPr>
          <w:rFonts w:ascii="Arial" w:cs="Arial" w:eastAsia="Arial" w:hAnsi="Arial"/>
          <w:sz w:val="18"/>
          <w:szCs w:val="18"/>
          <w:b w:val="1"/>
          <w:bCs w:val="1"/>
          <w:u w:val="single" w:color="auto"/>
          <w:color w:val="auto"/>
        </w:rPr>
      </w:pPr>
    </w:p>
    <w:p>
      <w:pPr>
        <w:spacing w:after="0"/>
        <w:rPr>
          <w:rFonts w:ascii="Arial" w:cs="Arial" w:eastAsia="Arial" w:hAnsi="Arial"/>
          <w:sz w:val="18"/>
          <w:szCs w:val="18"/>
          <w:b w:val="1"/>
          <w:bCs w:val="1"/>
          <w:u w:val="single" w:color="auto"/>
          <w:color w:val="auto"/>
        </w:rPr>
      </w:pPr>
      <w:r>
        <w:rPr>
          <w:rFonts w:ascii="Arial" w:cs="Arial" w:eastAsia="Arial" w:hAnsi="Arial"/>
          <w:sz w:val="18"/>
          <w:szCs w:val="18"/>
          <w:b w:val="1"/>
          <w:bCs w:val="1"/>
          <w:color w:val="auto"/>
        </w:rPr>
        <w:t>[*]</w:t>
      </w:r>
    </w:p>
    <w:p>
      <w:pPr>
        <w:spacing w:after="0" w:line="374" w:lineRule="exact"/>
        <w:rPr>
          <w:sz w:val="20"/>
          <w:szCs w:val="20"/>
          <w:color w:val="auto"/>
        </w:rPr>
      </w:pPr>
    </w:p>
    <w:p>
      <w:pPr>
        <w:ind w:right="2800" w:firstLine="8"/>
        <w:spacing w:after="0" w:line="401" w:lineRule="auto"/>
        <w:tabs>
          <w:tab w:leader="none" w:pos="675" w:val="left"/>
        </w:tabs>
        <w:numPr>
          <w:ilvl w:val="0"/>
          <w:numId w:val="51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OUTLINE TERMS FOR TECHNOLOGY TRANSFER FROM LONZA TO FORTY SEVEN </w:t>
      </w:r>
      <w:r>
        <w:rPr>
          <w:rFonts w:ascii="Arial" w:cs="Arial" w:eastAsia="Arial" w:hAnsi="Arial"/>
          <w:sz w:val="18"/>
          <w:szCs w:val="18"/>
          <w:b w:val="1"/>
          <w:bCs w:val="1"/>
          <w:color w:val="auto"/>
        </w:rPr>
        <w:t>[*] (4 pages omitted)</w:t>
      </w:r>
    </w:p>
    <w:p>
      <w:pPr>
        <w:spacing w:after="0" w:line="1" w:lineRule="exact"/>
        <w:rPr>
          <w:sz w:val="20"/>
          <w:szCs w:val="20"/>
          <w:color w:val="auto"/>
        </w:rPr>
      </w:pPr>
    </w:p>
    <w:p>
      <w:pPr>
        <w:ind w:firstLine="8"/>
        <w:spacing w:after="0" w:line="277" w:lineRule="auto"/>
        <w:tabs>
          <w:tab w:leader="none" w:pos="255" w:val="left"/>
        </w:tabs>
        <w:numPr>
          <w:ilvl w:val="0"/>
          <w:numId w:val="51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680"/>
          </w:cols>
          <w:pgMar w:left="240" w:top="881" w:right="97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9">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jc w:val="center"/>
        <w:ind w:right="-739"/>
        <w:spacing w:after="0"/>
        <w:rPr>
          <w:sz w:val="20"/>
          <w:szCs w:val="20"/>
          <w:color w:val="auto"/>
        </w:rPr>
      </w:pPr>
      <w:r>
        <w:rPr>
          <w:rFonts w:ascii="Arial" w:cs="Arial" w:eastAsia="Arial" w:hAnsi="Arial"/>
          <w:sz w:val="18"/>
          <w:szCs w:val="18"/>
          <w:i w:val="1"/>
          <w:iCs w:val="1"/>
          <w:color w:val="auto"/>
        </w:rPr>
        <w:t>APPENDIX C</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u w:val="single" w:color="auto"/>
          <w:color w:val="auto"/>
        </w:rPr>
        <w:t>Quality Agreement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(TO BE ATTACHED)</w:t>
      </w:r>
    </w:p>
    <w:p>
      <w:pPr>
        <w:spacing w:after="0" w:line="158" w:lineRule="exact"/>
        <w:rPr>
          <w:sz w:val="20"/>
          <w:szCs w:val="20"/>
          <w:color w:val="auto"/>
        </w:rPr>
      </w:pPr>
    </w:p>
    <w:p>
      <w:pPr>
        <w:ind w:firstLine="8"/>
        <w:spacing w:after="0" w:line="277" w:lineRule="auto"/>
        <w:tabs>
          <w:tab w:leader="none" w:pos="255"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680"/>
          </w:cols>
          <w:pgMar w:left="240" w:top="881" w:right="97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1">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jc w:val="center"/>
        <w:ind w:right="-739"/>
        <w:spacing w:after="0"/>
        <w:rPr>
          <w:sz w:val="20"/>
          <w:szCs w:val="20"/>
          <w:color w:val="auto"/>
        </w:rPr>
      </w:pPr>
      <w:r>
        <w:rPr>
          <w:rFonts w:ascii="Arial" w:cs="Arial" w:eastAsia="Arial" w:hAnsi="Arial"/>
          <w:sz w:val="18"/>
          <w:szCs w:val="18"/>
          <w:i w:val="1"/>
          <w:iCs w:val="1"/>
          <w:color w:val="auto"/>
        </w:rPr>
        <w:t>APPENDIX D</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u w:val="single" w:color="auto"/>
          <w:color w:val="auto"/>
        </w:rPr>
        <w:t>Example Specifications</w:t>
      </w:r>
    </w:p>
    <w:p>
      <w:pPr>
        <w:spacing w:after="0" w:line="207" w:lineRule="exact"/>
        <w:rPr>
          <w:sz w:val="20"/>
          <w:szCs w:val="20"/>
          <w:color w:val="auto"/>
        </w:rPr>
      </w:pPr>
    </w:p>
    <w:p>
      <w:pPr>
        <w:ind w:left="260" w:hanging="252"/>
        <w:spacing w:after="0"/>
        <w:tabs>
          <w:tab w:leader="none" w:pos="260"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color w:val="auto"/>
        </w:rPr>
        <w:t>(4 pages omitted)</w:t>
      </w:r>
    </w:p>
    <w:p>
      <w:pPr>
        <w:spacing w:after="0" w:line="161" w:lineRule="exact"/>
        <w:rPr>
          <w:rFonts w:ascii="Arial" w:cs="Arial" w:eastAsia="Arial" w:hAnsi="Arial"/>
          <w:sz w:val="18"/>
          <w:szCs w:val="18"/>
          <w:b w:val="1"/>
          <w:bCs w:val="1"/>
          <w:color w:val="auto"/>
        </w:rPr>
      </w:pPr>
    </w:p>
    <w:p>
      <w:pPr>
        <w:ind w:firstLine="8"/>
        <w:spacing w:after="0" w:line="277" w:lineRule="auto"/>
        <w:tabs>
          <w:tab w:leader="none" w:pos="255"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680"/>
          </w:cols>
          <w:pgMar w:left="240" w:top="881" w:right="979" w:bottom="1440" w:gutter="0" w:footer="0" w:header="0"/>
        </w:sectPr>
      </w:pPr>
    </w:p>
    <w:bookmarkStart w:id="434" w:name="page435"/>
    <w:bookmarkEnd w:id="4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3">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APPENDIX 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ind w:firstLine="8"/>
        <w:spacing w:after="0" w:line="277" w:lineRule="auto"/>
        <w:tabs>
          <w:tab w:leader="none" w:pos="255" w:val="left"/>
        </w:tabs>
        <w:numPr>
          <w:ilvl w:val="0"/>
          <w:numId w:val="51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80"/>
          </w:cols>
          <w:pgMar w:left="240" w:top="882" w:right="979" w:bottom="1440" w:gutter="0" w:footer="0" w:header="0"/>
        </w:sectPr>
      </w:pPr>
    </w:p>
    <w:bookmarkStart w:id="435" w:name="page436"/>
    <w:bookmarkEnd w:id="435"/>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171450</wp:posOffset>
            </wp:positionV>
            <wp:extent cx="1080770" cy="2489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4">
                      <a:extLst>
                        <a:ext uri="{28A0092B-C50C-407E-A947-70E740481C1C}"/>
                      </a:extLst>
                    </a:blip>
                    <a:srcRect/>
                    <a:stretch>
                      <a:fillRect/>
                    </a:stretch>
                  </pic:blipFill>
                  <pic:spPr bwMode="auto">
                    <a:xfrm>
                      <a:off x="0" y="0"/>
                      <a:ext cx="108077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ind w:firstLine="8"/>
        <w:spacing w:after="0" w:line="282" w:lineRule="auto"/>
        <w:tabs>
          <w:tab w:leader="none" w:pos="255" w:val="left"/>
        </w:tabs>
        <w:numPr>
          <w:ilvl w:val="0"/>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Assigned Capacity and Manufacturing Agreement for 2,000 L Scale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Lonza Biologics Tuas Pte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35 Tuas South Avenue 6, SG-Singapore, 637377</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-hereinafter “Lonza”-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Forty Seven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1490 O’Brien Drive, Suite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 USA</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-hereinafter “Forty Seven” or“Customer”-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December 21, 2017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2k Singapore</w:t>
      </w:r>
    </w:p>
    <w:p>
      <w:pPr>
        <w:sectPr>
          <w:pgSz w:w="11900" w:h="16838" w:orient="portrait"/>
          <w:cols w:equalWidth="0" w:num="1">
            <w:col w:w="11420"/>
          </w:cols>
          <w:pgMar w:left="240" w:top="121" w:right="239" w:bottom="1440" w:gutter="0" w:footer="0" w:header="0"/>
        </w:sectPr>
      </w:pPr>
    </w:p>
    <w:bookmarkStart w:id="436" w:name="page437"/>
    <w:bookmarkEnd w:id="4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6">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DEFINITIONS AND INTERPRETATION</w:t>
            </w: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PERFORMANCE OF SERVICES</w:t>
            </w: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PROJECT MANAGEMENT / STEERING COMMITTEE</w:t>
            </w: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QUALITY</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INSURANCE</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ASSIGNED CAPACITY, ALTERNATE PRODUCT, FORECASTING, ORDERING AND CANCELLATION</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DELIVERY AND ACCEPTANCE</w:t>
            </w: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PRICE AND PAYMENT</w:t>
            </w: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[INTENTIONALLY OMITTED.]</w:t>
            </w: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INTELLECTUAL PROPERTY</w:t>
            </w: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WARRANTIES</w:t>
            </w: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INDEMNIFICATION AND LIABILITY</w:t>
            </w: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13</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CONFIDENTIALITY</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TERM AND TERMINATION</w:t>
            </w: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15</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FORCE MAJEURE</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16</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MISCELLANEOUS</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59"/>
        </w:trPr>
        <w:tc>
          <w:tcPr>
            <w:tcW w:w="1080" w:type="dxa"/>
            <w:vAlign w:val="bottom"/>
            <w:gridSpan w:val="2"/>
          </w:tcPr>
          <w:p>
            <w:pPr>
              <w:spacing w:after="0"/>
              <w:rPr>
                <w:sz w:val="20"/>
                <w:szCs w:val="20"/>
                <w:color w:val="auto"/>
              </w:rPr>
            </w:pPr>
            <w:r>
              <w:rPr>
                <w:rFonts w:ascii="Arial" w:cs="Arial" w:eastAsia="Arial" w:hAnsi="Arial"/>
                <w:sz w:val="18"/>
                <w:szCs w:val="18"/>
                <w:color w:val="auto"/>
              </w:rPr>
              <w:t>Appendix A</w:t>
            </w:r>
          </w:p>
        </w:tc>
        <w:tc>
          <w:tcPr>
            <w:tcW w:w="8840" w:type="dxa"/>
            <w:vAlign w:val="bottom"/>
          </w:tcPr>
          <w:p>
            <w:pPr>
              <w:ind w:left="180"/>
              <w:spacing w:after="0"/>
              <w:rPr>
                <w:sz w:val="20"/>
                <w:szCs w:val="20"/>
                <w:color w:val="auto"/>
              </w:rPr>
            </w:pPr>
            <w:r>
              <w:rPr>
                <w:rFonts w:ascii="Arial" w:cs="Arial" w:eastAsia="Arial" w:hAnsi="Arial"/>
                <w:sz w:val="18"/>
                <w:szCs w:val="18"/>
                <w:color w:val="auto"/>
              </w:rPr>
              <w:t>Project Plan</w:t>
            </w:r>
          </w:p>
        </w:tc>
        <w:tc>
          <w:tcPr>
            <w:tcW w:w="1440" w:type="dxa"/>
            <w:vAlign w:val="bottom"/>
          </w:tcPr>
          <w:p>
            <w:pPr>
              <w:spacing w:after="0"/>
              <w:rPr>
                <w:sz w:val="24"/>
                <w:szCs w:val="24"/>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Appendix B</w:t>
            </w:r>
          </w:p>
        </w:tc>
        <w:tc>
          <w:tcPr>
            <w:tcW w:w="8840" w:type="dxa"/>
            <w:vAlign w:val="bottom"/>
          </w:tcPr>
          <w:p>
            <w:pPr>
              <w:ind w:left="180"/>
              <w:spacing w:after="0"/>
              <w:rPr>
                <w:sz w:val="20"/>
                <w:szCs w:val="20"/>
                <w:color w:val="auto"/>
              </w:rPr>
            </w:pPr>
            <w:r>
              <w:rPr>
                <w:rFonts w:ascii="Arial" w:cs="Arial" w:eastAsia="Arial" w:hAnsi="Arial"/>
                <w:sz w:val="18"/>
                <w:szCs w:val="18"/>
                <w:color w:val="auto"/>
              </w:rPr>
              <w:t>Price</w:t>
            </w:r>
          </w:p>
        </w:tc>
        <w:tc>
          <w:tcPr>
            <w:tcW w:w="1440" w:type="dxa"/>
            <w:vAlign w:val="bottom"/>
          </w:tcPr>
          <w:p>
            <w:pPr>
              <w:spacing w:after="0"/>
              <w:rPr>
                <w:sz w:val="24"/>
                <w:szCs w:val="24"/>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Appendix C</w:t>
            </w:r>
          </w:p>
        </w:tc>
        <w:tc>
          <w:tcPr>
            <w:tcW w:w="8840" w:type="dxa"/>
            <w:vAlign w:val="bottom"/>
          </w:tcPr>
          <w:p>
            <w:pPr>
              <w:ind w:left="180"/>
              <w:spacing w:after="0"/>
              <w:rPr>
                <w:sz w:val="20"/>
                <w:szCs w:val="20"/>
                <w:color w:val="auto"/>
              </w:rPr>
            </w:pPr>
            <w:r>
              <w:rPr>
                <w:rFonts w:ascii="Arial" w:cs="Arial" w:eastAsia="Arial" w:hAnsi="Arial"/>
                <w:sz w:val="18"/>
                <w:szCs w:val="18"/>
                <w:color w:val="auto"/>
              </w:rPr>
              <w:t>Quality Agreement</w:t>
            </w:r>
          </w:p>
        </w:tc>
        <w:tc>
          <w:tcPr>
            <w:tcW w:w="1440" w:type="dxa"/>
            <w:vAlign w:val="bottom"/>
          </w:tcPr>
          <w:p>
            <w:pPr>
              <w:spacing w:after="0"/>
              <w:rPr>
                <w:sz w:val="24"/>
                <w:szCs w:val="24"/>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Appendix D</w:t>
            </w:r>
          </w:p>
        </w:tc>
        <w:tc>
          <w:tcPr>
            <w:tcW w:w="8840" w:type="dxa"/>
            <w:vAlign w:val="bottom"/>
          </w:tcPr>
          <w:p>
            <w:pPr>
              <w:ind w:left="180"/>
              <w:spacing w:after="0"/>
              <w:rPr>
                <w:sz w:val="20"/>
                <w:szCs w:val="20"/>
                <w:color w:val="auto"/>
              </w:rPr>
            </w:pPr>
            <w:r>
              <w:rPr>
                <w:rFonts w:ascii="Arial" w:cs="Arial" w:eastAsia="Arial" w:hAnsi="Arial"/>
                <w:sz w:val="18"/>
                <w:szCs w:val="18"/>
                <w:color w:val="auto"/>
              </w:rPr>
              <w:t>Specifications</w:t>
            </w:r>
          </w:p>
        </w:tc>
        <w:tc>
          <w:tcPr>
            <w:tcW w:w="1440" w:type="dxa"/>
            <w:vAlign w:val="bottom"/>
          </w:tcPr>
          <w:p>
            <w:pPr>
              <w:spacing w:after="0"/>
              <w:rPr>
                <w:sz w:val="24"/>
                <w:szCs w:val="24"/>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Appendix E</w:t>
            </w:r>
          </w:p>
        </w:tc>
        <w:tc>
          <w:tcPr>
            <w:tcW w:w="8840" w:type="dxa"/>
            <w:vAlign w:val="bottom"/>
          </w:tcPr>
          <w:p>
            <w:pPr>
              <w:ind w:left="180"/>
              <w:spacing w:after="0"/>
              <w:rPr>
                <w:sz w:val="20"/>
                <w:szCs w:val="20"/>
                <w:color w:val="auto"/>
              </w:rPr>
            </w:pPr>
            <w:r>
              <w:rPr>
                <w:rFonts w:ascii="Arial" w:cs="Arial" w:eastAsia="Arial" w:hAnsi="Arial"/>
                <w:sz w:val="18"/>
                <w:szCs w:val="18"/>
                <w:color w:val="auto"/>
              </w:rPr>
              <w:t>Approved Entities</w:t>
            </w:r>
          </w:p>
        </w:tc>
        <w:tc>
          <w:tcPr>
            <w:tcW w:w="1440" w:type="dxa"/>
            <w:vAlign w:val="bottom"/>
          </w:tcPr>
          <w:p>
            <w:pPr>
              <w:spacing w:after="0"/>
              <w:rPr>
                <w:sz w:val="24"/>
                <w:szCs w:val="24"/>
                <w:color w:val="auto"/>
              </w:rPr>
            </w:pPr>
          </w:p>
        </w:tc>
      </w:tr>
      <w:tr>
        <w:trPr>
          <w:trHeight w:val="365"/>
        </w:trPr>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40" w:type="dxa"/>
            <w:vAlign w:val="bottom"/>
          </w:tcPr>
          <w:p>
            <w:pPr>
              <w:ind w:left="4580"/>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24"/>
                <w:szCs w:val="24"/>
                <w:color w:val="auto"/>
              </w:rPr>
            </w:pPr>
          </w:p>
        </w:tc>
      </w:tr>
    </w:tbl>
    <w:p>
      <w:pPr>
        <w:spacing w:after="0" w:line="94" w:lineRule="exact"/>
        <w:rPr>
          <w:sz w:val="20"/>
          <w:szCs w:val="20"/>
          <w:color w:val="auto"/>
        </w:rPr>
      </w:pPr>
    </w:p>
    <w:p>
      <w:pPr>
        <w:ind w:right="680" w:firstLine="8"/>
        <w:spacing w:after="0" w:line="277" w:lineRule="auto"/>
        <w:tabs>
          <w:tab w:leader="none" w:pos="25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60"/>
          </w:cols>
          <w:pgMar w:left="240" w:top="881" w:right="299" w:bottom="1440" w:gutter="0" w:footer="0" w:header="0"/>
        </w:sectPr>
      </w:pPr>
    </w:p>
    <w:bookmarkStart w:id="437" w:name="page438"/>
    <w:bookmarkEnd w:id="4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WHEREAS, Forty Seven is engaged in the development and research of certain products for the treatment of various indications (as further defined below,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Lonza and its Affiliates have expertise in the evaluation, development and manufacture of such Products;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WHEREAS, Forty Seven wishes to engage Lonza for Services relating to the development and manufacture of the Product as described in this Agreement; and</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WHEREAS, Lonza or its Affiliate; is prepared to perform such Services for Forty Seven in accordance with the terms and subject to the conditions set out herein.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for other good and valuable consideration, the parties intending to be legally bound, agree as follows:</w:t>
      </w:r>
    </w:p>
    <w:p>
      <w:pPr>
        <w:spacing w:after="0" w:line="315" w:lineRule="exact"/>
        <w:rPr>
          <w:sz w:val="20"/>
          <w:szCs w:val="20"/>
          <w:color w:val="auto"/>
        </w:rPr>
      </w:pPr>
    </w:p>
    <w:p>
      <w:pPr>
        <w:ind w:left="920" w:hanging="912"/>
        <w:spacing w:after="0"/>
        <w:tabs>
          <w:tab w:leader="none" w:pos="920"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ectPr>
          <w:pgSz w:w="11900" w:h="16838" w:orient="portrait"/>
          <w:cols w:equalWidth="0" w:num="1">
            <w:col w:w="11400"/>
          </w:cols>
          <w:pgMar w:left="240" w:top="881" w:right="2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“Affiliate”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means any company, partnership or other entity which directly or indirectly, Controls, is Controlled by or is under common control with the relevant Party. “Control” means the ownership of more than fifty percent (50%) of the issued share capital or the legal power to direct or cause the direction of the general management and policies of the relevant Party.</w:t>
      </w:r>
    </w:p>
    <w:p>
      <w:pPr>
        <w:spacing w:after="0" w:line="79"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“Agreement”</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means this agreement incorporating all Appendices, as amended from time to time by written agreement of the Parties.</w:t>
      </w:r>
    </w:p>
    <w:p>
      <w:pPr>
        <w:spacing w:after="0" w:line="62"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“Alternate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means any product(s) which the Parties agree may be substituted in place of or manufactured in addition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CD47 Product in accordance with Clause 6.2, and after such substitution all references in this Agreement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shall be deemed to apply to such Alternate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116"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“Applicable Laws”</w:t>
      </w:r>
    </w:p>
    <w:p>
      <w:pPr>
        <w:spacing w:after="0" w:line="20" w:lineRule="exact"/>
        <w:rPr>
          <w:sz w:val="20"/>
          <w:szCs w:val="20"/>
          <w:color w:val="auto"/>
        </w:rPr>
      </w:pPr>
      <w:r>
        <w:rPr>
          <w:sz w:val="20"/>
          <w:szCs w:val="20"/>
          <w:color w:val="auto"/>
        </w:rPr>
        <w:br w:type="column"/>
      </w:r>
    </w:p>
    <w:p>
      <w:pPr>
        <w:ind w:right="80"/>
        <w:spacing w:after="0" w:line="312" w:lineRule="auto"/>
        <w:rPr>
          <w:sz w:val="20"/>
          <w:szCs w:val="20"/>
          <w:color w:val="auto"/>
        </w:rPr>
      </w:pPr>
      <w:r>
        <w:rPr>
          <w:rFonts w:ascii="Arial" w:cs="Arial" w:eastAsia="Arial" w:hAnsi="Arial"/>
          <w:sz w:val="16"/>
          <w:szCs w:val="16"/>
          <w:color w:val="auto"/>
        </w:rPr>
        <w:t>means all relevant U.S., U.K. and European Union, federal, state and local laws, statutes, rules, and regulations which are applicable to a Party’s activities hereunder, including, without limitation, the applicable regulations and guidelines of any Governmental Authority and cGMP together with amendments thereto.</w:t>
      </w:r>
    </w:p>
    <w:p>
      <w:pPr>
        <w:spacing w:after="0" w:line="39"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8"/>
          <w:szCs w:val="18"/>
          <w:color w:val="auto"/>
        </w:rPr>
        <w:t>“Approval”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first marketing approval by the FDA or EMA of Production from the Facility for commercial supply.</w:t>
      </w:r>
    </w:p>
    <w:p>
      <w:pPr>
        <w:spacing w:after="0" w:line="180"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881" w:right="259" w:bottom="1440" w:gutter="0" w:footer="0" w:header="0"/>
          <w:type w:val="continuous"/>
        </w:sectPr>
      </w:pPr>
    </w:p>
    <w:p>
      <w:pPr>
        <w:spacing w:after="0" w:line="129" w:lineRule="exact"/>
        <w:rPr>
          <w:sz w:val="20"/>
          <w:szCs w:val="20"/>
          <w:color w:val="auto"/>
        </w:rPr>
      </w:pPr>
    </w:p>
    <w:p>
      <w:pPr>
        <w:ind w:right="720" w:firstLine="8"/>
        <w:spacing w:after="0" w:line="277" w:lineRule="auto"/>
        <w:tabs>
          <w:tab w:leader="none" w:pos="255" w:val="left"/>
        </w:tabs>
        <w:numPr>
          <w:ilvl w:val="0"/>
          <w:numId w:val="52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881" w:right="259" w:bottom="1440" w:gutter="0" w:footer="0" w:header="0"/>
          <w:type w:val="continuous"/>
        </w:sectPr>
      </w:pPr>
    </w:p>
    <w:bookmarkStart w:id="438" w:name="page439"/>
    <w:bookmarkEnd w:id="43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0">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ectPr>
          <w:pgSz w:w="11900" w:h="16838" w:orient="portrait"/>
          <w:cols w:equalWidth="0" w:num="1">
            <w:col w:w="11400"/>
          </w:cols>
          <w:pgMar w:left="240" w:top="881" w:right="25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“Assigned Capacity”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means the annual capacity at the Facility assigned by Lonza to Forty Seven for the manufacture of cGMP Batches as described in clause 6.1.</w:t>
      </w:r>
    </w:p>
    <w:p>
      <w:pPr>
        <w:spacing w:after="0" w:line="62"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6"/>
          <w:szCs w:val="16"/>
          <w:color w:val="auto"/>
        </w:rPr>
        <w:t>“Background Intellectual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means any Intellectual Property either (i) owned or controlled by a Party prior to the Effective Date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(ii) developed or acquired by a Party independently from the performance of the Services hereunder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of this Agreement.</w:t>
      </w:r>
    </w:p>
    <w:p>
      <w:pPr>
        <w:spacing w:after="0" w:line="103"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“Batch”</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the Product derived from a single run of the Manufacturing Process at the Facility at 2,000 litre scale and associated analytical testing required for the release of the Product.</w:t>
      </w:r>
    </w:p>
    <w:p>
      <w:pPr>
        <w:spacing w:after="0" w:line="62"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“CD47 Product”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means the human IgG antibody produced by the Cell Line, known as SSCI047 that binds to CD47 and of which Forty Seven is the proprietor as set out in Appendix D.</w:t>
      </w:r>
    </w:p>
    <w:p>
      <w:pPr>
        <w:spacing w:after="0" w:line="62"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8"/>
          <w:szCs w:val="18"/>
          <w:color w:val="auto"/>
        </w:rPr>
        <w:t>“Cell Line”</w:t>
      </w:r>
    </w:p>
    <w:p>
      <w:pPr>
        <w:spacing w:after="0" w:line="20" w:lineRule="exact"/>
        <w:rPr>
          <w:sz w:val="20"/>
          <w:szCs w:val="20"/>
          <w:color w:val="auto"/>
        </w:rPr>
      </w:pPr>
      <w:r>
        <w:rPr>
          <w:sz w:val="20"/>
          <w:szCs w:val="20"/>
          <w:color w:val="auto"/>
        </w:rPr>
        <w:br w:type="column"/>
      </w:r>
    </w:p>
    <w:p>
      <w:pPr>
        <w:ind w:right="320"/>
        <w:spacing w:after="0" w:line="342" w:lineRule="auto"/>
        <w:rPr>
          <w:sz w:val="20"/>
          <w:szCs w:val="20"/>
          <w:color w:val="auto"/>
        </w:rPr>
      </w:pPr>
      <w:r>
        <w:rPr>
          <w:rFonts w:ascii="Arial" w:cs="Arial" w:eastAsia="Arial" w:hAnsi="Arial"/>
          <w:sz w:val="16"/>
          <w:szCs w:val="16"/>
          <w:color w:val="auto"/>
        </w:rPr>
        <w:t>means the GS-CHO cell line expressing Product, created by Lonza under the Prior MSA, an example of the particulars of which are set out in Appendix D, and which does not include Lonza’s host cell lines.</w:t>
      </w:r>
    </w:p>
    <w:p>
      <w:pPr>
        <w:spacing w:after="0" w:line="16"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“Certificate of Analysis”</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means a document prepared by Lonza listing tests performed by Lonza or approved External Laboratories, the Specifications and test results.</w:t>
      </w:r>
    </w:p>
    <w:p>
      <w:pPr>
        <w:spacing w:after="0" w:line="62"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“Certificate of Compliance”</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8"/>
          <w:szCs w:val="18"/>
          <w:color w:val="auto"/>
        </w:rPr>
        <w:t>means a document prepared by Lonza: (i) listing the manufacturing date, unique Batch number, and concentration of Product in such Batch, (ii) certifying that such Batch was manufactured in accordance with the Master Batch Record and cGMP.</w:t>
      </w:r>
    </w:p>
    <w:p>
      <w:pPr>
        <w:spacing w:after="0" w:line="73"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8"/>
          <w:szCs w:val="18"/>
          <w:color w:val="auto"/>
        </w:rPr>
        <w:t>“cGMP”</w:t>
      </w:r>
    </w:p>
    <w:p>
      <w:pPr>
        <w:spacing w:after="0" w:line="20" w:lineRule="exact"/>
        <w:rPr>
          <w:sz w:val="20"/>
          <w:szCs w:val="20"/>
          <w:color w:val="auto"/>
        </w:rPr>
      </w:pPr>
      <w:r>
        <w:rPr>
          <w:sz w:val="20"/>
          <w:szCs w:val="20"/>
          <w:color w:val="auto"/>
        </w:rPr>
        <w:br w:type="column"/>
      </w:r>
    </w:p>
    <w:p>
      <w:pPr>
        <w:ind w:right="60"/>
        <w:spacing w:after="0" w:line="272" w:lineRule="auto"/>
        <w:rPr>
          <w:sz w:val="20"/>
          <w:szCs w:val="20"/>
          <w:color w:val="auto"/>
        </w:rPr>
      </w:pPr>
      <w:r>
        <w:rPr>
          <w:rFonts w:ascii="Arial" w:cs="Arial" w:eastAsia="Arial" w:hAnsi="Arial"/>
          <w:sz w:val="17"/>
          <w:szCs w:val="17"/>
          <w:color w:val="auto"/>
        </w:rPr>
        <w:t>means those laws and regulations applicable in the U.S., U.K. and European Union, relating to the manufacture of medicinal products for human use, including, without limitation, current good manufacturing practices as specified in the ICH guidelines, including without limitation, ICH Q7A “ICH Good Manufacturing Practice Guide for Active Pharmaceutical Ingredients”, US Federal Food Drug and Cosmetic Act at 21CFR (Chapters 210, 211, 600 and 610) and the Guide to Good Manufacturing Practices for Medicinal Products as promulgated under European Directive 91/356/EEC. For the avoidance of doubt, Lonza’s operational quality standards are defined in internal cGMP policy documents.</w:t>
      </w:r>
    </w:p>
    <w:p>
      <w:pPr>
        <w:spacing w:after="0" w:line="110"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881" w:right="259" w:bottom="1440" w:gutter="0" w:footer="0" w:header="0"/>
          <w:type w:val="continuous"/>
        </w:sectPr>
      </w:pPr>
    </w:p>
    <w:p>
      <w:pPr>
        <w:spacing w:after="0" w:line="129" w:lineRule="exact"/>
        <w:rPr>
          <w:sz w:val="20"/>
          <w:szCs w:val="20"/>
          <w:color w:val="auto"/>
        </w:rPr>
      </w:pPr>
    </w:p>
    <w:p>
      <w:pPr>
        <w:ind w:right="720" w:firstLine="8"/>
        <w:spacing w:after="0" w:line="277" w:lineRule="auto"/>
        <w:tabs>
          <w:tab w:leader="none" w:pos="255"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881" w:right="259" w:bottom="1440" w:gutter="0" w:footer="0" w:header="0"/>
          <w:type w:val="continuous"/>
        </w:sectPr>
      </w:pPr>
    </w:p>
    <w:bookmarkStart w:id="439" w:name="page440"/>
    <w:bookmarkEnd w:id="4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2">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ectPr>
          <w:pgSz w:w="11900" w:h="16838" w:orient="portrait"/>
          <w:cols w:equalWidth="0" w:num="1">
            <w:col w:w="11360"/>
          </w:cols>
          <w:pgMar w:left="240" w:top="882" w:right="29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“cGMP Batches”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means any Batches which are required under the Project Plan to be manufactured in accordance with cGMP.</w:t>
      </w:r>
    </w:p>
    <w:p>
      <w:pPr>
        <w:spacing w:after="0" w:line="140" w:lineRule="exact"/>
        <w:rPr>
          <w:sz w:val="20"/>
          <w:szCs w:val="20"/>
          <w:color w:val="auto"/>
        </w:rPr>
      </w:pPr>
    </w:p>
    <w:p>
      <w:pPr>
        <w:sectPr>
          <w:pgSz w:w="11900" w:h="16838" w:orient="portrait"/>
          <w:cols w:equalWidth="0" w:num="2">
            <w:col w:w="2620" w:space="720"/>
            <w:col w:w="8020"/>
          </w:cols>
          <w:pgMar w:left="240" w:top="882" w:right="299" w:bottom="1440" w:gutter="0" w:footer="0" w:header="0"/>
          <w:type w:val="continuous"/>
        </w:sectPr>
      </w:pPr>
    </w:p>
    <w:p>
      <w:pPr>
        <w:spacing w:after="0"/>
        <w:rPr>
          <w:sz w:val="20"/>
          <w:szCs w:val="20"/>
          <w:color w:val="auto"/>
        </w:rPr>
      </w:pPr>
      <w:r>
        <w:rPr>
          <w:rFonts w:ascii="Arial" w:cs="Arial" w:eastAsia="Arial" w:hAnsi="Arial"/>
          <w:sz w:val="16"/>
          <w:szCs w:val="16"/>
          <w:color w:val="auto"/>
        </w:rPr>
        <w:t>“Commencement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date of removal of the vial of cells from frozen storage for the production of a Batch.</w:t>
      </w:r>
    </w:p>
    <w:p>
      <w:pPr>
        <w:spacing w:after="0" w:line="140" w:lineRule="exact"/>
        <w:rPr>
          <w:sz w:val="20"/>
          <w:szCs w:val="20"/>
          <w:color w:val="auto"/>
        </w:rPr>
      </w:pPr>
    </w:p>
    <w:p>
      <w:pPr>
        <w:sectPr>
          <w:pgSz w:w="11900" w:h="16838" w:orient="portrait"/>
          <w:cols w:equalWidth="0" w:num="2">
            <w:col w:w="2620" w:space="720"/>
            <w:col w:w="8020"/>
          </w:cols>
          <w:pgMar w:left="240" w:top="882" w:right="299" w:bottom="1440" w:gutter="0" w:footer="0" w:header="0"/>
          <w:type w:val="continuous"/>
        </w:sectPr>
      </w:pPr>
    </w:p>
    <w:p>
      <w:pPr>
        <w:spacing w:after="0"/>
        <w:rPr>
          <w:sz w:val="20"/>
          <w:szCs w:val="20"/>
          <w:color w:val="auto"/>
        </w:rPr>
      </w:pPr>
      <w:r>
        <w:rPr>
          <w:rFonts w:ascii="Arial" w:cs="Arial" w:eastAsia="Arial" w:hAnsi="Arial"/>
          <w:sz w:val="17"/>
          <w:szCs w:val="17"/>
          <w:color w:val="auto"/>
        </w:rPr>
        <w:t>“Confidential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Forty Seven Information and/or Lonza Information, as the context requires.</w:t>
      </w:r>
    </w:p>
    <w:p>
      <w:pPr>
        <w:spacing w:after="0" w:line="140" w:lineRule="exact"/>
        <w:rPr>
          <w:sz w:val="20"/>
          <w:szCs w:val="20"/>
          <w:color w:val="auto"/>
        </w:rPr>
      </w:pPr>
    </w:p>
    <w:p>
      <w:pPr>
        <w:sectPr>
          <w:pgSz w:w="11900" w:h="16838" w:orient="portrait"/>
          <w:cols w:equalWidth="0" w:num="2">
            <w:col w:w="2620" w:space="720"/>
            <w:col w:w="8020"/>
          </w:cols>
          <w:pgMar w:left="240" w:top="882" w:right="299" w:bottom="1440" w:gutter="0" w:footer="0" w:header="0"/>
          <w:type w:val="continuous"/>
        </w:sectPr>
      </w:pPr>
    </w:p>
    <w:p>
      <w:pPr>
        <w:spacing w:after="0"/>
        <w:rPr>
          <w:sz w:val="20"/>
          <w:szCs w:val="20"/>
          <w:color w:val="auto"/>
        </w:rPr>
      </w:pPr>
      <w:r>
        <w:rPr>
          <w:rFonts w:ascii="Arial" w:cs="Arial" w:eastAsia="Arial" w:hAnsi="Arial"/>
          <w:sz w:val="18"/>
          <w:szCs w:val="18"/>
          <w:color w:val="auto"/>
        </w:rPr>
        <w:t>“EMA”</w:t>
      </w:r>
    </w:p>
    <w:p>
      <w:pPr>
        <w:spacing w:after="0" w:line="20" w:lineRule="exact"/>
        <w:rPr>
          <w:sz w:val="20"/>
          <w:szCs w:val="20"/>
          <w:color w:val="auto"/>
        </w:rPr>
      </w:pPr>
      <w:r>
        <w:rPr>
          <w:sz w:val="20"/>
          <w:szCs w:val="20"/>
          <w:color w:val="auto"/>
        </w:rPr>
        <w:br w:type="column"/>
      </w:r>
    </w:p>
    <w:p>
      <w:pPr>
        <w:jc w:val="center"/>
        <w:ind w:right="2760"/>
        <w:spacing w:after="0"/>
        <w:rPr>
          <w:sz w:val="20"/>
          <w:szCs w:val="20"/>
          <w:color w:val="auto"/>
        </w:rPr>
      </w:pPr>
      <w:r>
        <w:rPr>
          <w:rFonts w:ascii="Arial" w:cs="Arial" w:eastAsia="Arial" w:hAnsi="Arial"/>
          <w:sz w:val="15"/>
          <w:szCs w:val="15"/>
          <w:color w:val="auto"/>
        </w:rPr>
        <w:t>means the European Medicines Agency, or any successor agency thereto.</w:t>
      </w:r>
    </w:p>
    <w:p>
      <w:pPr>
        <w:spacing w:after="0" w:line="151" w:lineRule="exact"/>
        <w:rPr>
          <w:sz w:val="20"/>
          <w:szCs w:val="20"/>
          <w:color w:val="auto"/>
        </w:rPr>
      </w:pPr>
    </w:p>
    <w:p>
      <w:pPr>
        <w:sectPr>
          <w:pgSz w:w="11900" w:h="16838" w:orient="portrait"/>
          <w:cols w:equalWidth="0" w:num="2">
            <w:col w:w="2620" w:space="720"/>
            <w:col w:w="8020"/>
          </w:cols>
          <w:pgMar w:left="240" w:top="882" w:right="299" w:bottom="1440" w:gutter="0" w:footer="0" w:header="0"/>
          <w:type w:val="continuous"/>
        </w:sectPr>
      </w:pPr>
    </w:p>
    <w:p>
      <w:pPr>
        <w:spacing w:after="0"/>
        <w:rPr>
          <w:sz w:val="20"/>
          <w:szCs w:val="20"/>
          <w:color w:val="auto"/>
        </w:rPr>
      </w:pPr>
      <w:r>
        <w:rPr>
          <w:rFonts w:ascii="Arial" w:cs="Arial" w:eastAsia="Arial" w:hAnsi="Arial"/>
          <w:sz w:val="16"/>
          <w:szCs w:val="16"/>
          <w:color w:val="auto"/>
        </w:rPr>
        <w:t>“Engineering Batches”</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means a Batch that is intended to demonstrate the transfer of the Manufacturing Process to the Facility, as described in Clause 2.2.</w:t>
      </w:r>
    </w:p>
    <w:p>
      <w:pPr>
        <w:spacing w:after="0" w:line="62" w:lineRule="exact"/>
        <w:rPr>
          <w:sz w:val="20"/>
          <w:szCs w:val="20"/>
          <w:color w:val="auto"/>
        </w:rPr>
      </w:pPr>
    </w:p>
    <w:p>
      <w:pPr>
        <w:sectPr>
          <w:pgSz w:w="11900" w:h="16838" w:orient="portrait"/>
          <w:cols w:equalWidth="0" w:num="2">
            <w:col w:w="2620" w:space="720"/>
            <w:col w:w="8020"/>
          </w:cols>
          <w:pgMar w:left="240" w:top="882" w:right="299" w:bottom="1440" w:gutter="0" w:footer="0" w:header="0"/>
          <w:type w:val="continuous"/>
        </w:sectPr>
      </w:pPr>
    </w:p>
    <w:p>
      <w:pPr>
        <w:spacing w:after="0"/>
        <w:rPr>
          <w:sz w:val="20"/>
          <w:szCs w:val="20"/>
          <w:color w:val="auto"/>
        </w:rPr>
      </w:pPr>
      <w:r>
        <w:rPr>
          <w:rFonts w:ascii="Arial" w:cs="Arial" w:eastAsia="Arial" w:hAnsi="Arial"/>
          <w:sz w:val="17"/>
          <w:szCs w:val="17"/>
          <w:color w:val="auto"/>
        </w:rPr>
        <w:t>“External Laboratories”</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means any Third Party instructed by Lonza, with Forty Seven’s prior consent, which is to conduct activities required to complete the Services.</w:t>
      </w:r>
    </w:p>
    <w:p>
      <w:pPr>
        <w:spacing w:after="0" w:line="62" w:lineRule="exact"/>
        <w:rPr>
          <w:sz w:val="20"/>
          <w:szCs w:val="20"/>
          <w:color w:val="auto"/>
        </w:rPr>
      </w:pPr>
    </w:p>
    <w:p>
      <w:pPr>
        <w:sectPr>
          <w:pgSz w:w="11900" w:h="16838" w:orient="portrait"/>
          <w:cols w:equalWidth="0" w:num="2">
            <w:col w:w="2620" w:space="720"/>
            <w:col w:w="8020"/>
          </w:cols>
          <w:pgMar w:left="240" w:top="882" w:right="299" w:bottom="1440" w:gutter="0" w:footer="0" w:header="0"/>
          <w:type w:val="continuous"/>
        </w:sectPr>
      </w:pPr>
    </w:p>
    <w:p>
      <w:pPr>
        <w:spacing w:after="0"/>
        <w:rPr>
          <w:sz w:val="20"/>
          <w:szCs w:val="20"/>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Lonza’s manufacturing facility in Singapore.</w:t>
      </w:r>
    </w:p>
    <w:p>
      <w:pPr>
        <w:spacing w:after="0" w:line="139" w:lineRule="exact"/>
        <w:rPr>
          <w:sz w:val="20"/>
          <w:szCs w:val="20"/>
          <w:color w:val="auto"/>
        </w:rPr>
      </w:pPr>
    </w:p>
    <w:p>
      <w:pPr>
        <w:sectPr>
          <w:pgSz w:w="11900" w:h="16838" w:orient="portrait"/>
          <w:cols w:equalWidth="0" w:num="2">
            <w:col w:w="2620" w:space="720"/>
            <w:col w:w="8020"/>
          </w:cols>
          <w:pgMar w:left="240" w:top="882" w:right="299" w:bottom="1440" w:gutter="0" w:footer="0" w:header="0"/>
          <w:type w:val="continuous"/>
        </w:sectPr>
      </w:pPr>
    </w:p>
    <w:p>
      <w:pPr>
        <w:spacing w:after="0"/>
        <w:rPr>
          <w:sz w:val="20"/>
          <w:szCs w:val="20"/>
          <w:color w:val="auto"/>
        </w:rPr>
      </w:pPr>
      <w:r>
        <w:rPr>
          <w:rFonts w:ascii="Arial" w:cs="Arial" w:eastAsia="Arial" w:hAnsi="Arial"/>
          <w:sz w:val="18"/>
          <w:szCs w:val="18"/>
          <w:color w:val="auto"/>
        </w:rPr>
        <w:t>“FDA”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United States Food and Drug Administration, or any successor agency thereto.</w:t>
      </w:r>
    </w:p>
    <w:p>
      <w:pPr>
        <w:spacing w:after="0" w:line="139" w:lineRule="exact"/>
        <w:rPr>
          <w:sz w:val="20"/>
          <w:szCs w:val="20"/>
          <w:color w:val="auto"/>
        </w:rPr>
      </w:pPr>
    </w:p>
    <w:p>
      <w:pPr>
        <w:sectPr>
          <w:pgSz w:w="11900" w:h="16838" w:orient="portrait"/>
          <w:cols w:equalWidth="0" w:num="2">
            <w:col w:w="2620" w:space="720"/>
            <w:col w:w="8020"/>
          </w:cols>
          <w:pgMar w:left="240" w:top="882" w:right="299" w:bottom="1440" w:gutter="0" w:footer="0" w:header="0"/>
          <w:type w:val="continuous"/>
        </w:sectPr>
      </w:pPr>
    </w:p>
    <w:p>
      <w:pPr>
        <w:spacing w:after="0"/>
        <w:rPr>
          <w:sz w:val="20"/>
          <w:szCs w:val="20"/>
          <w:color w:val="auto"/>
        </w:rPr>
      </w:pPr>
      <w:r>
        <w:rPr>
          <w:rFonts w:ascii="Arial" w:cs="Arial" w:eastAsia="Arial" w:hAnsi="Arial"/>
          <w:sz w:val="17"/>
          <w:szCs w:val="17"/>
          <w:color w:val="auto"/>
        </w:rPr>
        <w:t>“Forty Seven Information”</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6"/>
          <w:szCs w:val="16"/>
          <w:color w:val="auto"/>
        </w:rPr>
        <w:t>means all technical and other information (i) from time to time supplied by Forty Seven to Lonza under this Agreement which, at the time of disclosure by Forty Seven, was not known to Lonza or in the public domain or (ii) which was owned by Forty Seven pursuant to the Prior MSA and/or is specific to the Cell Line or Product, or any other materials or information supplied by Forty Seven to Lonza under this Agreement.</w:t>
      </w:r>
    </w:p>
    <w:p>
      <w:pPr>
        <w:spacing w:after="0" w:line="46" w:lineRule="exact"/>
        <w:rPr>
          <w:sz w:val="20"/>
          <w:szCs w:val="20"/>
          <w:color w:val="auto"/>
        </w:rPr>
      </w:pPr>
    </w:p>
    <w:p>
      <w:pPr>
        <w:sectPr>
          <w:pgSz w:w="11900" w:h="16838" w:orient="portrait"/>
          <w:cols w:equalWidth="0" w:num="2">
            <w:col w:w="2620" w:space="720"/>
            <w:col w:w="8020"/>
          </w:cols>
          <w:pgMar w:left="240" w:top="882" w:right="299" w:bottom="1440" w:gutter="0" w:footer="0" w:header="0"/>
          <w:type w:val="continuous"/>
        </w:sectPr>
      </w:pPr>
    </w:p>
    <w:p>
      <w:pPr>
        <w:spacing w:after="0"/>
        <w:rPr>
          <w:sz w:val="20"/>
          <w:szCs w:val="20"/>
          <w:color w:val="auto"/>
        </w:rPr>
      </w:pPr>
      <w:r>
        <w:rPr>
          <w:rFonts w:ascii="Arial" w:cs="Arial" w:eastAsia="Arial" w:hAnsi="Arial"/>
          <w:sz w:val="16"/>
          <w:szCs w:val="16"/>
          <w:color w:val="auto"/>
        </w:rPr>
        <w:t>“Forty Seven Materials”</w:t>
      </w:r>
    </w:p>
    <w:p>
      <w:pPr>
        <w:spacing w:after="0" w:line="20" w:lineRule="exact"/>
        <w:rPr>
          <w:sz w:val="20"/>
          <w:szCs w:val="20"/>
          <w:color w:val="auto"/>
        </w:rPr>
      </w:pPr>
      <w:r>
        <w:rPr>
          <w:sz w:val="20"/>
          <w:szCs w:val="20"/>
          <w:color w:val="auto"/>
        </w:rPr>
        <w:br w:type="column"/>
      </w:r>
    </w:p>
    <w:p>
      <w:pPr>
        <w:ind w:right="60"/>
        <w:spacing w:after="0" w:line="342" w:lineRule="auto"/>
        <w:rPr>
          <w:sz w:val="20"/>
          <w:szCs w:val="20"/>
          <w:color w:val="auto"/>
        </w:rPr>
      </w:pPr>
      <w:r>
        <w:rPr>
          <w:rFonts w:ascii="Arial" w:cs="Arial" w:eastAsia="Arial" w:hAnsi="Arial"/>
          <w:sz w:val="16"/>
          <w:szCs w:val="16"/>
          <w:color w:val="auto"/>
        </w:rPr>
        <w:t>means any components of Product, or other materials of any nature as may be provided by Forty Seven to Lonza under this Agreement provided that the Cell Line will be subject always to the terms of the GS Licence.</w:t>
      </w:r>
    </w:p>
    <w:p>
      <w:pPr>
        <w:spacing w:after="0" w:line="16" w:lineRule="exact"/>
        <w:rPr>
          <w:sz w:val="20"/>
          <w:szCs w:val="20"/>
          <w:color w:val="auto"/>
        </w:rPr>
      </w:pPr>
    </w:p>
    <w:p>
      <w:pPr>
        <w:sectPr>
          <w:pgSz w:w="11900" w:h="16838" w:orient="portrait"/>
          <w:cols w:equalWidth="0" w:num="2">
            <w:col w:w="2620" w:space="720"/>
            <w:col w:w="8020"/>
          </w:cols>
          <w:pgMar w:left="240" w:top="882" w:right="299" w:bottom="1440" w:gutter="0" w:footer="0" w:header="0"/>
          <w:type w:val="continuous"/>
        </w:sectPr>
      </w:pPr>
    </w:p>
    <w:p>
      <w:pPr>
        <w:spacing w:after="0"/>
        <w:rPr>
          <w:sz w:val="20"/>
          <w:szCs w:val="20"/>
          <w:color w:val="auto"/>
        </w:rPr>
      </w:pPr>
      <w:r>
        <w:rPr>
          <w:rFonts w:ascii="Arial" w:cs="Arial" w:eastAsia="Arial" w:hAnsi="Arial"/>
          <w:sz w:val="17"/>
          <w:szCs w:val="17"/>
          <w:color w:val="auto"/>
        </w:rPr>
        <w:t>“Governmental Authority”</w:t>
      </w:r>
    </w:p>
    <w:p>
      <w:pPr>
        <w:spacing w:after="0" w:line="20" w:lineRule="exact"/>
        <w:rPr>
          <w:sz w:val="20"/>
          <w:szCs w:val="20"/>
          <w:color w:val="auto"/>
        </w:rPr>
      </w:pPr>
      <w:r>
        <w:rPr>
          <w:sz w:val="20"/>
          <w:szCs w:val="20"/>
          <w:color w:val="auto"/>
        </w:rPr>
        <w:br w:type="column"/>
      </w:r>
    </w:p>
    <w:p>
      <w:pPr>
        <w:ind w:right="260"/>
        <w:spacing w:after="0" w:line="308" w:lineRule="auto"/>
        <w:rPr>
          <w:sz w:val="20"/>
          <w:szCs w:val="20"/>
          <w:color w:val="auto"/>
        </w:rPr>
      </w:pPr>
      <w:r>
        <w:rPr>
          <w:rFonts w:ascii="Arial" w:cs="Arial" w:eastAsia="Arial" w:hAnsi="Arial"/>
          <w:sz w:val="17"/>
          <w:szCs w:val="17"/>
          <w:color w:val="auto"/>
        </w:rPr>
        <w:t>means any Regulatory Authority and any national, multi-national, regional, state or local regulatory agency, department, bureau, or other governmental entity in the U.S., U.K. or European Union.</w:t>
      </w:r>
    </w:p>
    <w:p>
      <w:pPr>
        <w:spacing w:after="0" w:line="79" w:lineRule="exact"/>
        <w:rPr>
          <w:sz w:val="20"/>
          <w:szCs w:val="20"/>
          <w:color w:val="auto"/>
        </w:rPr>
      </w:pPr>
    </w:p>
    <w:p>
      <w:pPr>
        <w:sectPr>
          <w:pgSz w:w="11900" w:h="16838" w:orient="portrait"/>
          <w:cols w:equalWidth="0" w:num="2">
            <w:col w:w="2620" w:space="720"/>
            <w:col w:w="8020"/>
          </w:cols>
          <w:pgMar w:left="240" w:top="882" w:right="299" w:bottom="1440" w:gutter="0" w:footer="0" w:header="0"/>
          <w:type w:val="continuous"/>
        </w:sect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882" w:right="299" w:bottom="1440" w:gutter="0" w:footer="0" w:header="0"/>
          <w:type w:val="continuous"/>
        </w:sectPr>
      </w:pPr>
    </w:p>
    <w:p>
      <w:pPr>
        <w:spacing w:after="0" w:line="129" w:lineRule="exact"/>
        <w:rPr>
          <w:sz w:val="20"/>
          <w:szCs w:val="20"/>
          <w:color w:val="auto"/>
        </w:rPr>
      </w:pPr>
    </w:p>
    <w:p>
      <w:pPr>
        <w:ind w:right="680" w:firstLine="8"/>
        <w:spacing w:after="0" w:line="277" w:lineRule="auto"/>
        <w:tabs>
          <w:tab w:leader="none" w:pos="255" w:val="left"/>
        </w:tabs>
        <w:numPr>
          <w:ilvl w:val="0"/>
          <w:numId w:val="52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60"/>
          </w:cols>
          <w:pgMar w:left="240" w:top="882" w:right="299" w:bottom="1440" w:gutter="0" w:footer="0" w:header="0"/>
          <w:type w:val="continuous"/>
        </w:sectPr>
      </w:pPr>
    </w:p>
    <w:bookmarkStart w:id="440" w:name="page441"/>
    <w:bookmarkEnd w:id="44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4">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ectPr>
          <w:pgSz w:w="11900" w:h="16838" w:orient="portrait"/>
          <w:cols w:equalWidth="0" w:num="1">
            <w:col w:w="11400"/>
          </w:cols>
          <w:pgMar w:left="240" w:top="881" w:right="25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“GS Licence”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means the licence agreement between Forty Seven and Lonza Sales AG dated 24 May 2016 for the use of Lonza’s proprietary glutamine synthetase gene expression system, as amended from time to time.</w:t>
      </w:r>
    </w:p>
    <w:p>
      <w:pPr>
        <w:spacing w:after="0" w:line="16"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“Intellectual Property”</w:t>
      </w:r>
    </w:p>
    <w:p>
      <w:pPr>
        <w:spacing w:after="0" w:line="20" w:lineRule="exact"/>
        <w:rPr>
          <w:sz w:val="20"/>
          <w:szCs w:val="20"/>
          <w:color w:val="auto"/>
        </w:rPr>
      </w:pPr>
      <w:r>
        <w:rPr>
          <w:sz w:val="20"/>
          <w:szCs w:val="20"/>
          <w:color w:val="auto"/>
        </w:rPr>
        <w:br w:type="column"/>
      </w:r>
    </w:p>
    <w:p>
      <w:pPr>
        <w:ind w:right="20"/>
        <w:spacing w:after="0" w:line="272" w:lineRule="auto"/>
        <w:rPr>
          <w:sz w:val="20"/>
          <w:szCs w:val="20"/>
          <w:color w:val="auto"/>
        </w:rPr>
      </w:pPr>
      <w:r>
        <w:rPr>
          <w:rFonts w:ascii="Arial" w:cs="Arial" w:eastAsia="Arial" w:hAnsi="Arial"/>
          <w:sz w:val="17"/>
          <w:szCs w:val="17"/>
          <w:color w:val="auto"/>
        </w:rPr>
        <w:t>means (i) inventions (whether or not patentable), patents, trade secrets, copyrights, trademarks, trade names and domain names, rights in designs, rights in computer software, database rights, rights in confidential information (including know-how) and any other intellectual property rights, in each case whether registered or unregistered, (ii) all applications (or rights to apply) for, and renewals or extensions of, any of the rights described in the foregoing sub-clause (i) and (ii) and all rights and applications that are similar or equivalent to the rights and application described in the foregoing sub-clauses (i) and (ii), which exist now, or which come to exist in the future, in any part of the world.</w:t>
      </w:r>
    </w:p>
    <w:p>
      <w:pPr>
        <w:spacing w:after="0" w:line="70"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“Lonza Information”</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means all information that is proprietary to Lonza or any Affiliate of Lonza and that is maintained in confidence by Lonza or any Affiliate of Lonza and that is disclosed by Lonza or any Affiliate of Lonza to Forty Seven under or in connection with this Agreement, including without limitation, any and all Lonza know-how and trade secrets, but excluding any Forty Seven Information.</w:t>
      </w:r>
    </w:p>
    <w:p>
      <w:pPr>
        <w:spacing w:after="0" w:line="79"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“Manufacturing Process”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Lonza’s production process for the manufacture of Product.</w:t>
      </w:r>
    </w:p>
    <w:p>
      <w:pPr>
        <w:spacing w:after="0" w:line="140"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“Master Batch Record”</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means the document, proposed by Lonza and approved by Forty Seven, which defines the manufacturing methods, test methods and other procedures, directions and controls associated with the manufacture and testing of Product.</w:t>
      </w:r>
    </w:p>
    <w:p>
      <w:pPr>
        <w:spacing w:after="0" w:line="73"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“New Forty Seven Intellectual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given in Clause 10.2.</w:t>
      </w:r>
    </w:p>
    <w:p>
      <w:pPr>
        <w:spacing w:after="0" w:line="151" w:lineRule="exact"/>
        <w:rPr>
          <w:sz w:val="20"/>
          <w:szCs w:val="20"/>
          <w:color w:val="auto"/>
        </w:rPr>
      </w:pPr>
    </w:p>
    <w:p>
      <w:pPr>
        <w:sectPr>
          <w:pgSz w:w="11900" w:h="16838" w:orient="portrait"/>
          <w:cols w:equalWidth="0" w:num="2">
            <w:col w:w="2940" w:space="400"/>
            <w:col w:w="8060"/>
          </w:cols>
          <w:pgMar w:left="240" w:top="881" w:right="25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“New General Application Intellectual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given in Clause 10.3.</w:t>
      </w:r>
    </w:p>
    <w:p>
      <w:pPr>
        <w:spacing w:after="0" w:line="367" w:lineRule="exact"/>
        <w:rPr>
          <w:sz w:val="20"/>
          <w:szCs w:val="20"/>
          <w:color w:val="auto"/>
        </w:rPr>
      </w:pPr>
    </w:p>
    <w:p>
      <w:pPr>
        <w:sectPr>
          <w:pgSz w:w="11900" w:h="16838" w:orient="portrait"/>
          <w:cols w:equalWidth="0" w:num="2">
            <w:col w:w="2800" w:space="54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8"/>
          <w:szCs w:val="18"/>
          <w:color w:val="auto"/>
        </w:rPr>
        <w:t>“Party”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each of Lonza and Forty Seven and, together, the ”Parties”.</w:t>
      </w:r>
    </w:p>
    <w:p>
      <w:pPr>
        <w:spacing w:after="0" w:line="139"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8"/>
          <w:szCs w:val="18"/>
          <w:color w:val="auto"/>
        </w:rPr>
        <w:t>“Price”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price for the Services and Products as set out in Clause 8 and/or Appendix B.</w:t>
      </w:r>
    </w:p>
    <w:p>
      <w:pPr>
        <w:spacing w:after="0" w:line="180"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881" w:right="259" w:bottom="1440" w:gutter="0" w:footer="0" w:header="0"/>
          <w:type w:val="continuous"/>
        </w:sectPr>
      </w:pPr>
    </w:p>
    <w:p>
      <w:pPr>
        <w:spacing w:after="0" w:line="129" w:lineRule="exact"/>
        <w:rPr>
          <w:sz w:val="20"/>
          <w:szCs w:val="20"/>
          <w:color w:val="auto"/>
        </w:rPr>
      </w:pPr>
    </w:p>
    <w:p>
      <w:pPr>
        <w:ind w:right="720" w:firstLine="8"/>
        <w:spacing w:after="0" w:line="277" w:lineRule="auto"/>
        <w:tabs>
          <w:tab w:leader="none" w:pos="255"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881" w:right="259" w:bottom="1440" w:gutter="0" w:footer="0" w:header="0"/>
          <w:type w:val="continuous"/>
        </w:sectPr>
      </w:pPr>
    </w:p>
    <w:bookmarkStart w:id="441" w:name="page442"/>
    <w:bookmarkEnd w:id="4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6">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ectPr>
          <w:pgSz w:w="11900" w:h="16838" w:orient="portrait"/>
          <w:cols w:equalWidth="0" w:num="1">
            <w:col w:w="11420"/>
          </w:cols>
          <w:pgMar w:left="240" w:top="881" w:right="2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“Prior MSA”</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means the (i) sub-award agreement between Forty·Seven and Lonza Sales AG dated 25 August 2010; as novated and amended by the novation and amendment agreement .between the Parties dated 01 March 2016 and as amended from time to time, and (ii) the Assigned Capacity and Manufacturing Agreement between Forty Seven and Lonza Sales AG dated 30 August 2016 as amended.</w:t>
      </w:r>
    </w:p>
    <w:p>
      <w:pPr>
        <w:spacing w:after="0" w:line="63" w:lineRule="exact"/>
        <w:rPr>
          <w:sz w:val="20"/>
          <w:szCs w:val="20"/>
          <w:color w:val="auto"/>
        </w:rPr>
      </w:pPr>
    </w:p>
    <w:p>
      <w:pPr>
        <w:sectPr>
          <w:pgSz w:w="11900" w:h="16838" w:orient="portrait"/>
          <w:cols w:equalWidth="0" w:num="2">
            <w:col w:w="2620" w:space="720"/>
            <w:col w:w="8080"/>
          </w:cols>
          <w:pgMar w:left="240" w:top="881"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“Process Validation Batch”</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means a Batch that is produced with the intent to show reproducibility of the Manufacturing Process and Is required to complete process validation studies.</w:t>
      </w:r>
    </w:p>
    <w:p>
      <w:pPr>
        <w:spacing w:after="0" w:line="62" w:lineRule="exact"/>
        <w:rPr>
          <w:sz w:val="20"/>
          <w:szCs w:val="20"/>
          <w:color w:val="auto"/>
        </w:rPr>
      </w:pPr>
    </w:p>
    <w:p>
      <w:pPr>
        <w:sectPr>
          <w:pgSz w:w="11900" w:h="16838" w:orient="portrait"/>
          <w:cols w:equalWidth="0" w:num="2">
            <w:col w:w="2620" w:space="720"/>
            <w:col w:w="808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CD47 Product and/or the Alternate Product(s) to be manufactured by Lonza under this Agreement.</w:t>
      </w:r>
    </w:p>
    <w:p>
      <w:pPr>
        <w:spacing w:after="0" w:line="140" w:lineRule="exact"/>
        <w:rPr>
          <w:sz w:val="20"/>
          <w:szCs w:val="20"/>
          <w:color w:val="auto"/>
        </w:rPr>
      </w:pPr>
    </w:p>
    <w:p>
      <w:pPr>
        <w:sectPr>
          <w:pgSz w:w="11900" w:h="16838" w:orient="portrait"/>
          <w:cols w:equalWidth="0" w:num="2">
            <w:col w:w="2620" w:space="720"/>
            <w:col w:w="808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“Project Plan”</w:t>
      </w:r>
    </w:p>
    <w:p>
      <w:pPr>
        <w:spacing w:after="0" w:line="20" w:lineRule="exact"/>
        <w:rPr>
          <w:sz w:val="20"/>
          <w:szCs w:val="20"/>
          <w:color w:val="auto"/>
        </w:rPr>
      </w:pPr>
      <w:r>
        <w:rPr>
          <w:sz w:val="20"/>
          <w:szCs w:val="20"/>
          <w:color w:val="auto"/>
        </w:rPr>
        <w:br w:type="column"/>
      </w:r>
    </w:p>
    <w:p>
      <w:pPr>
        <w:ind w:right="500"/>
        <w:spacing w:after="0" w:line="342" w:lineRule="auto"/>
        <w:rPr>
          <w:sz w:val="20"/>
          <w:szCs w:val="20"/>
          <w:color w:val="auto"/>
        </w:rPr>
      </w:pPr>
      <w:r>
        <w:rPr>
          <w:rFonts w:ascii="Arial" w:cs="Arial" w:eastAsia="Arial" w:hAnsi="Arial"/>
          <w:sz w:val="16"/>
          <w:szCs w:val="16"/>
          <w:color w:val="auto"/>
        </w:rPr>
        <w:t>means the Plan(s) describing the Services to be performed by Lonza under this Agreement, including any update and amendment of the Project Plan to which the Parties may agree from time to time.</w:t>
      </w:r>
    </w:p>
    <w:p>
      <w:pPr>
        <w:spacing w:after="0" w:line="16" w:lineRule="exact"/>
        <w:rPr>
          <w:sz w:val="20"/>
          <w:szCs w:val="20"/>
          <w:color w:val="auto"/>
        </w:rPr>
      </w:pPr>
    </w:p>
    <w:p>
      <w:pPr>
        <w:sectPr>
          <w:pgSz w:w="11900" w:h="16838" w:orient="portrait"/>
          <w:cols w:equalWidth="0" w:num="2">
            <w:col w:w="2620" w:space="720"/>
            <w:col w:w="808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“Quality Agreement”</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means the quality agreement, attached hereto as Appendix C, setting out the responsibilities of the Parties in relation to quality as required for compliance with cGMP.</w:t>
      </w:r>
    </w:p>
    <w:p>
      <w:pPr>
        <w:spacing w:after="0" w:line="62" w:lineRule="exact"/>
        <w:rPr>
          <w:sz w:val="20"/>
          <w:szCs w:val="20"/>
          <w:color w:val="auto"/>
        </w:rPr>
      </w:pPr>
    </w:p>
    <w:p>
      <w:pPr>
        <w:sectPr>
          <w:pgSz w:w="11900" w:h="16838" w:orient="portrait"/>
          <w:cols w:equalWidth="0" w:num="2">
            <w:col w:w="2620" w:space="720"/>
            <w:col w:w="808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“Raw Materials”</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means all ingredients, solvents and other components of the Product required to perform the Manufacturing Process or Services set forth in the bill of materials detailing the· same [*].</w:t>
      </w:r>
    </w:p>
    <w:p>
      <w:pPr>
        <w:spacing w:after="0" w:line="62" w:lineRule="exact"/>
        <w:rPr>
          <w:sz w:val="20"/>
          <w:szCs w:val="20"/>
          <w:color w:val="auto"/>
        </w:rPr>
      </w:pPr>
    </w:p>
    <w:p>
      <w:pPr>
        <w:sectPr>
          <w:pgSz w:w="11900" w:h="16838" w:orient="portrait"/>
          <w:cols w:equalWidth="0" w:num="2">
            <w:col w:w="2620" w:space="720"/>
            <w:col w:w="8080"/>
          </w:cols>
          <w:pgMar w:left="240" w:top="881" w:right="239" w:bottom="1440" w:gutter="0" w:footer="0" w:header="0"/>
          <w:type w:val="continuous"/>
        </w:sectPr>
      </w:pPr>
    </w:p>
    <w:p>
      <w:pPr>
        <w:spacing w:after="0"/>
        <w:rPr>
          <w:sz w:val="20"/>
          <w:szCs w:val="20"/>
          <w:color w:val="auto"/>
        </w:rPr>
      </w:pPr>
      <w:r>
        <w:rPr>
          <w:rFonts w:ascii="Arial" w:cs="Arial" w:eastAsia="Arial" w:hAnsi="Arial"/>
          <w:sz w:val="16"/>
          <w:szCs w:val="16"/>
          <w:color w:val="auto"/>
        </w:rPr>
        <w:t>“Raw Materials Fee”</w:t>
      </w:r>
    </w:p>
    <w:p>
      <w:pPr>
        <w:spacing w:after="0" w:line="20" w:lineRule="exact"/>
        <w:rPr>
          <w:sz w:val="20"/>
          <w:szCs w:val="20"/>
          <w:color w:val="auto"/>
        </w:rPr>
      </w:pPr>
      <w:r>
        <w:rPr>
          <w:sz w:val="20"/>
          <w:szCs w:val="20"/>
          <w:color w:val="auto"/>
        </w:rPr>
        <w:br w:type="column"/>
      </w:r>
    </w:p>
    <w:p>
      <w:pPr>
        <w:jc w:val="both"/>
        <w:ind w:right="380"/>
        <w:spacing w:after="0" w:line="264" w:lineRule="auto"/>
        <w:rPr>
          <w:sz w:val="20"/>
          <w:szCs w:val="20"/>
          <w:color w:val="auto"/>
        </w:rPr>
      </w:pPr>
      <w:r>
        <w:rPr>
          <w:rFonts w:ascii="Arial" w:cs="Arial" w:eastAsia="Arial" w:hAnsi="Arial"/>
          <w:sz w:val="18"/>
          <w:szCs w:val="18"/>
          <w:color w:val="auto"/>
        </w:rPr>
        <w:t>means the procurement and handling fee of [*] of the amount incurred by Lonza to be paid to a Third Party (“Lonza’s Cost”) for the acquisition of Raw Materials (other than Resins) that is charged to Forty Seven in addition to Lonza’s Cost of such Raw Materials.</w:t>
      </w:r>
    </w:p>
    <w:p>
      <w:pPr>
        <w:spacing w:after="0" w:line="73" w:lineRule="exact"/>
        <w:rPr>
          <w:sz w:val="20"/>
          <w:szCs w:val="20"/>
          <w:color w:val="auto"/>
        </w:rPr>
      </w:pPr>
    </w:p>
    <w:p>
      <w:pPr>
        <w:sectPr>
          <w:pgSz w:w="11900" w:h="16838" w:orient="portrait"/>
          <w:cols w:equalWidth="0" w:num="2">
            <w:col w:w="2620" w:space="720"/>
            <w:col w:w="808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“Regulatory Approval”</w:t>
      </w:r>
    </w:p>
    <w:p>
      <w:pPr>
        <w:spacing w:after="0" w:line="20" w:lineRule="exact"/>
        <w:rPr>
          <w:sz w:val="20"/>
          <w:szCs w:val="20"/>
          <w:color w:val="auto"/>
        </w:rPr>
      </w:pPr>
      <w:r>
        <w:rPr>
          <w:sz w:val="20"/>
          <w:szCs w:val="20"/>
          <w:color w:val="auto"/>
        </w:rPr>
        <w:br w:type="column"/>
      </w:r>
    </w:p>
    <w:p>
      <w:pPr>
        <w:ind w:right="580"/>
        <w:spacing w:after="0" w:line="277" w:lineRule="auto"/>
        <w:rPr>
          <w:sz w:val="20"/>
          <w:szCs w:val="20"/>
          <w:color w:val="auto"/>
        </w:rPr>
      </w:pPr>
      <w:r>
        <w:rPr>
          <w:rFonts w:ascii="Arial" w:cs="Arial" w:eastAsia="Arial" w:hAnsi="Arial"/>
          <w:sz w:val="18"/>
          <w:szCs w:val="18"/>
          <w:color w:val="auto"/>
        </w:rPr>
        <w:t>means, with respect to a Product, all approvals, licenses, registrations or authorizations necessary for the commercialization of such Product in a particular jurisdiction.</w:t>
      </w:r>
    </w:p>
    <w:p>
      <w:pPr>
        <w:spacing w:after="0" w:line="62" w:lineRule="exact"/>
        <w:rPr>
          <w:sz w:val="20"/>
          <w:szCs w:val="20"/>
          <w:color w:val="auto"/>
        </w:rPr>
      </w:pPr>
    </w:p>
    <w:p>
      <w:pPr>
        <w:sectPr>
          <w:pgSz w:w="11900" w:h="16838" w:orient="portrait"/>
          <w:cols w:equalWidth="0" w:num="2">
            <w:col w:w="2620" w:space="720"/>
            <w:col w:w="8080"/>
          </w:cols>
          <w:pgMar w:left="240" w:top="881" w:right="239" w:bottom="1440" w:gutter="0" w:footer="0" w:header="0"/>
          <w:type w:val="continuous"/>
        </w:sectPr>
      </w:pPr>
    </w:p>
    <w:p>
      <w:pPr>
        <w:spacing w:after="0"/>
        <w:rPr>
          <w:sz w:val="20"/>
          <w:szCs w:val="20"/>
          <w:color w:val="auto"/>
        </w:rPr>
      </w:pPr>
      <w:r>
        <w:rPr>
          <w:rFonts w:ascii="Arial" w:cs="Arial" w:eastAsia="Arial" w:hAnsi="Arial"/>
          <w:sz w:val="17"/>
          <w:szCs w:val="17"/>
          <w:color w:val="auto"/>
        </w:rPr>
        <w:t>“Regulatory Authority”</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means the FDA, EMA and any other similar regulatory authorities: as may be agreed upon in writing by the Parties.</w:t>
      </w:r>
    </w:p>
    <w:p>
      <w:pPr>
        <w:spacing w:after="0" w:line="62" w:lineRule="exact"/>
        <w:rPr>
          <w:sz w:val="20"/>
          <w:szCs w:val="20"/>
          <w:color w:val="auto"/>
        </w:rPr>
      </w:pPr>
    </w:p>
    <w:p>
      <w:pPr>
        <w:sectPr>
          <w:pgSz w:w="11900" w:h="16838" w:orient="portrait"/>
          <w:cols w:equalWidth="0" w:num="2">
            <w:col w:w="2620" w:space="720"/>
            <w:col w:w="8080"/>
          </w:cols>
          <w:pgMar w:left="240" w:top="881"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Clause 7.1.</w:t>
      </w:r>
    </w:p>
    <w:p>
      <w:pPr>
        <w:spacing w:after="0" w:line="181" w:lineRule="exact"/>
        <w:rPr>
          <w:sz w:val="20"/>
          <w:szCs w:val="20"/>
          <w:color w:val="auto"/>
        </w:rPr>
      </w:pPr>
    </w:p>
    <w:p>
      <w:pPr>
        <w:sectPr>
          <w:pgSz w:w="11900" w:h="16838" w:orient="portrait"/>
          <w:cols w:equalWidth="0" w:num="2">
            <w:col w:w="2620" w:space="720"/>
            <w:col w:w="8080"/>
          </w:cols>
          <w:pgMar w:left="240" w:top="881"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881" w:right="239" w:bottom="1440" w:gutter="0" w:footer="0" w:header="0"/>
          <w:type w:val="continuous"/>
        </w:sectPr>
      </w:pPr>
    </w:p>
    <w:p>
      <w:pPr>
        <w:spacing w:after="0" w:line="129" w:lineRule="exact"/>
        <w:rPr>
          <w:sz w:val="20"/>
          <w:szCs w:val="20"/>
          <w:color w:val="auto"/>
        </w:rPr>
      </w:pPr>
    </w:p>
    <w:p>
      <w:pPr>
        <w:ind w:right="740" w:firstLine="8"/>
        <w:spacing w:after="0" w:line="277" w:lineRule="auto"/>
        <w:tabs>
          <w:tab w:leader="none" w:pos="255"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881" w:right="239" w:bottom="1440" w:gutter="0" w:footer="0" w:header="0"/>
          <w:type w:val="continuous"/>
        </w:sectPr>
      </w:pPr>
    </w:p>
    <w:bookmarkStart w:id="442" w:name="page443"/>
    <w:bookmarkEnd w:id="44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ectPr>
          <w:pgSz w:w="11900" w:h="16838" w:orient="portrait"/>
          <w:cols w:equalWidth="0" w:num="1">
            <w:col w:w="11400"/>
          </w:cols>
          <w:pgMar w:left="240" w:top="881" w:right="25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“Resin”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means the chromatographic media and/or UF membranes intended to refine or purify the Product, as specified in the Master Batch Record.</w:t>
      </w:r>
    </w:p>
    <w:p>
      <w:pPr>
        <w:spacing w:after="0" w:line="62"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“Safety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out in Clause 2.9.</w:t>
      </w:r>
    </w:p>
    <w:p>
      <w:pPr>
        <w:spacing w:after="0" w:line="151"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“Services”</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means all or any part of the services to be performed by Lonza under this Agreement, particulars of which are set out in a Project Plan.</w:t>
      </w:r>
    </w:p>
    <w:p>
      <w:pPr>
        <w:spacing w:after="0" w:line="62"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“Specifications”</w:t>
      </w:r>
    </w:p>
    <w:p>
      <w:pPr>
        <w:spacing w:after="0" w:line="20" w:lineRule="exact"/>
        <w:rPr>
          <w:sz w:val="20"/>
          <w:szCs w:val="20"/>
          <w:color w:val="auto"/>
        </w:rPr>
      </w:pPr>
      <w:r>
        <w:rPr>
          <w:sz w:val="20"/>
          <w:szCs w:val="20"/>
          <w:color w:val="auto"/>
        </w:rPr>
        <w:br w:type="column"/>
      </w:r>
    </w:p>
    <w:p>
      <w:pPr>
        <w:ind w:right="580"/>
        <w:spacing w:after="0" w:line="277" w:lineRule="auto"/>
        <w:rPr>
          <w:sz w:val="20"/>
          <w:szCs w:val="20"/>
          <w:color w:val="auto"/>
        </w:rPr>
      </w:pPr>
      <w:r>
        <w:rPr>
          <w:rFonts w:ascii="Arial" w:cs="Arial" w:eastAsia="Arial" w:hAnsi="Arial"/>
          <w:sz w:val="18"/>
          <w:szCs w:val="18"/>
          <w:color w:val="auto"/>
        </w:rPr>
        <w:t>means the specifications of the Product; an example of which is specified in Appendix D, which may be amended from time to time in accordance with this Agreement.</w:t>
      </w:r>
    </w:p>
    <w:p>
      <w:pPr>
        <w:spacing w:after="0" w:line="62"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6"/>
          <w:szCs w:val="16"/>
          <w:color w:val="auto"/>
        </w:rPr>
        <w:t>“Suite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out in Clause 8.1.</w:t>
      </w:r>
    </w:p>
    <w:p>
      <w:pPr>
        <w:spacing w:after="0" w:line="151"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8"/>
          <w:szCs w:val="18"/>
          <w:color w:val="auto"/>
        </w:rPr>
        <w:t>“Term”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given in Clause 14.1.</w:t>
      </w:r>
    </w:p>
    <w:p>
      <w:pPr>
        <w:spacing w:after="0" w:line="151"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rPr>
          <w:sz w:val="20"/>
          <w:szCs w:val="20"/>
          <w:color w:val="auto"/>
        </w:rPr>
      </w:pPr>
      <w:r>
        <w:rPr>
          <w:rFonts w:ascii="Arial" w:cs="Arial" w:eastAsia="Arial" w:hAnsi="Arial"/>
          <w:sz w:val="17"/>
          <w:szCs w:val="17"/>
          <w:color w:val="auto"/>
        </w:rPr>
        <w:t>“Third Party”</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Arial" w:cs="Arial" w:eastAsia="Arial" w:hAnsi="Arial"/>
          <w:sz w:val="16"/>
          <w:szCs w:val="16"/>
          <w:color w:val="auto"/>
        </w:rPr>
        <w:t>means any party other than Forty Seven, Lonza and their respective Affiliates.</w:t>
      </w:r>
    </w:p>
    <w:p>
      <w:pPr>
        <w:spacing w:after="0" w:line="211" w:lineRule="exact"/>
        <w:rPr>
          <w:sz w:val="20"/>
          <w:szCs w:val="20"/>
          <w:color w:val="auto"/>
        </w:rPr>
      </w:pPr>
    </w:p>
    <w:p>
      <w:pPr>
        <w:sectPr>
          <w:pgSz w:w="11900" w:h="16838" w:orient="portrait"/>
          <w:cols w:equalWidth="0" w:num="2">
            <w:col w:w="2620" w:space="720"/>
            <w:col w:w="8060"/>
          </w:cols>
          <w:pgMar w:left="240" w:top="881" w:right="259" w:bottom="1440" w:gutter="0" w:footer="0" w:header="0"/>
          <w:type w:val="continuous"/>
        </w:sectPr>
      </w:pPr>
    </w:p>
    <w:p>
      <w:pPr>
        <w:spacing w:after="0" w:line="3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this Agreement references to the Parties are to the Parties to this Agreement, headings are used for convenience only and· do not affect its interpretation, references to a statutory provision include references to the statutory provision as modified or re-enacted or both from time to time and to any subordinate legislation made under the statutory provision, references to the singular include the plural and vice versa, and references to the word “including” are to be construed without limitation.</w:t>
      </w:r>
    </w:p>
    <w:p>
      <w:pPr>
        <w:spacing w:after="0" w:line="331" w:lineRule="exact"/>
        <w:rPr>
          <w:sz w:val="20"/>
          <w:szCs w:val="20"/>
          <w:color w:val="auto"/>
        </w:rPr>
      </w:pPr>
    </w:p>
    <w:p>
      <w:pPr>
        <w:ind w:left="920" w:hanging="912"/>
        <w:spacing w:after="0"/>
        <w:tabs>
          <w:tab w:leader="none" w:pos="920"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of Services</w:t>
      </w:r>
    </w:p>
    <w:p>
      <w:pPr>
        <w:spacing w:after="0" w:line="11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2.1</w:t>
            </w:r>
          </w:p>
        </w:tc>
        <w:tc>
          <w:tcPr>
            <w:tcW w:w="9340" w:type="dxa"/>
            <w:vAlign w:val="bottom"/>
            <w:gridSpan w:val="2"/>
          </w:tcPr>
          <w:p>
            <w:pPr>
              <w:spacing w:after="0"/>
              <w:rPr>
                <w:sz w:val="20"/>
                <w:szCs w:val="20"/>
                <w:color w:val="auto"/>
              </w:rPr>
            </w:pPr>
            <w:r>
              <w:rPr>
                <w:rFonts w:ascii="Arial" w:cs="Arial" w:eastAsia="Arial" w:hAnsi="Arial"/>
                <w:sz w:val="18"/>
                <w:szCs w:val="18"/>
                <w:color w:val="auto"/>
                <w:w w:val="92"/>
              </w:rPr>
              <w:t>Performance of Services. Subject to clause 2.5, Lonza shall itself and/or through its affiliates, diligently carry out the Services at</w:t>
            </w:r>
          </w:p>
        </w:tc>
      </w:tr>
      <w:tr>
        <w:trPr>
          <w:trHeight w:val="20"/>
        </w:trPr>
        <w:tc>
          <w:tcPr>
            <w:tcW w:w="10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w w:val="91"/>
              </w:rPr>
              <w:t>the Facility as provided in the Project Plan and use commercially reasonable efforts to perform the Services without any material</w:t>
            </w:r>
          </w:p>
        </w:tc>
      </w:tr>
      <w:tr>
        <w:trPr>
          <w:trHeight w:val="230"/>
        </w:trPr>
        <w:tc>
          <w:tcPr>
            <w:tcW w:w="1020" w:type="dxa"/>
            <w:vAlign w:val="bottom"/>
          </w:tcPr>
          <w:p>
            <w:pPr>
              <w:spacing w:after="0"/>
              <w:rPr>
                <w:sz w:val="20"/>
                <w:szCs w:val="20"/>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w w:val="90"/>
              </w:rPr>
              <w:t>defect and according to the estimated timelines as set forth in the Project Plan (owing to the unpredictable nature of the biological</w:t>
            </w:r>
          </w:p>
        </w:tc>
      </w:tr>
    </w:tbl>
    <w:p>
      <w:pPr>
        <w:ind w:left="1940"/>
        <w:spacing w:after="0" w:line="268" w:lineRule="auto"/>
        <w:rPr>
          <w:sz w:val="20"/>
          <w:szCs w:val="20"/>
          <w:color w:val="auto"/>
        </w:rPr>
      </w:pPr>
      <w:r>
        <w:rPr>
          <w:rFonts w:ascii="Arial" w:cs="Arial" w:eastAsia="Arial" w:hAnsi="Arial"/>
          <w:sz w:val="17"/>
          <w:szCs w:val="17"/>
          <w:color w:val="auto"/>
        </w:rPr>
        <w:t>processes involved in the Services, the timescales set down for the performance of the Services are estimated only). Lonza shall retain appropriately qualified and trained personnel with the requisite knowledge and experience to perform the Services in accordance with this Agreement. Lonza may subcontract or delegate any of its rights or obligations under this Agreement to perform the Services to its Affiliate(s); provided that Lonza shall be responsible for each such Affiliate’s performance or non-performance under this Agreement as if Lonza itself were performing such activities. Lonza may engage an External Laboratory to provide some of the Services provided, that any External Laboratories shall be subject to the same obligations and other provisions contained in this Agreement or any applicable Project Plan. In the event of a dispute Lonza shall use its reasonable endeavours to enforce such obligations upon such External Laboratories and pass onto the Customer whatever remedies it obtains from such External Laboratories provided always that Lonza shall not be responsible for any services performed by such External laboratories.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117" w:lineRule="exact"/>
        <w:rPr>
          <w:sz w:val="20"/>
          <w:szCs w:val="20"/>
          <w:color w:val="auto"/>
        </w:rPr>
      </w:pPr>
    </w:p>
    <w:p>
      <w:pPr>
        <w:ind w:right="720" w:firstLine="8"/>
        <w:spacing w:after="0" w:line="277" w:lineRule="auto"/>
        <w:tabs>
          <w:tab w:leader="none" w:pos="255" w:val="left"/>
        </w:tabs>
        <w:numPr>
          <w:ilvl w:val="0"/>
          <w:numId w:val="5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881" w:right="259" w:bottom="1440" w:gutter="0" w:footer="0" w:header="0"/>
          <w:type w:val="continuous"/>
        </w:sectPr>
      </w:pPr>
    </w:p>
    <w:bookmarkStart w:id="443" w:name="page444"/>
    <w:bookmarkEnd w:id="443"/>
    <w:tbl>
      <w:tblPr>
        <w:tblLayout w:type="fixed"/>
        <w:tblInd w:w="0" w:type="dxa"/>
        <w:tblCellMar>
          <w:top w:w="0" w:type="dxa"/>
          <w:left w:w="0" w:type="dxa"/>
          <w:bottom w:w="0" w:type="dxa"/>
          <w:right w:w="0" w:type="dxa"/>
        </w:tblCellMar>
      </w:tblPr>
      <w:tr>
        <w:trPr>
          <w:trHeight w:val="230"/>
        </w:trPr>
        <w:tc>
          <w:tcPr>
            <w:tcW w:w="1940" w:type="dxa"/>
            <w:vAlign w:val="bottom"/>
          </w:tcPr>
          <w:p>
            <w:pPr>
              <w:jc w:val="right"/>
              <w:ind w:right="530"/>
              <w:spacing w:after="0"/>
              <w:rPr>
                <w:sz w:val="20"/>
                <w:szCs w:val="20"/>
                <w:color w:val="auto"/>
              </w:rPr>
            </w:pPr>
            <w:r>
              <w:rPr>
                <w:rFonts w:ascii="Arial" w:cs="Arial" w:eastAsia="Arial" w:hAnsi="Arial"/>
                <w:sz w:val="18"/>
                <w:szCs w:val="18"/>
                <w:color w:val="auto"/>
                <w:w w:val="98"/>
              </w:rPr>
              <w:t>CONFIDENTIAL</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500" w:type="dxa"/>
            <w:vAlign w:val="bottom"/>
          </w:tcPr>
          <w:p>
            <w:pPr>
              <w:spacing w:after="0"/>
              <w:rPr>
                <w:sz w:val="20"/>
                <w:szCs w:val="20"/>
                <w:color w:val="auto"/>
              </w:rPr>
            </w:pPr>
          </w:p>
        </w:tc>
      </w:tr>
      <w:tr>
        <w:trPr>
          <w:trHeight w:val="324"/>
        </w:trPr>
        <w:tc>
          <w:tcPr>
            <w:tcW w:w="1940" w:type="dxa"/>
            <w:vAlign w:val="bottom"/>
          </w:tcPr>
          <w:p>
            <w:pPr>
              <w:jc w:val="right"/>
              <w:ind w:right="710"/>
              <w:spacing w:after="0"/>
              <w:rPr>
                <w:sz w:val="20"/>
                <w:szCs w:val="20"/>
                <w:color w:val="auto"/>
              </w:rPr>
            </w:pPr>
            <w:r>
              <w:rPr>
                <w:rFonts w:ascii="Arial" w:cs="Arial" w:eastAsia="Arial" w:hAnsi="Arial"/>
                <w:sz w:val="18"/>
                <w:szCs w:val="18"/>
                <w:color w:val="auto"/>
              </w:rPr>
              <w:t>2.2</w:t>
            </w:r>
          </w:p>
        </w:tc>
        <w:tc>
          <w:tcPr>
            <w:tcW w:w="9440" w:type="dxa"/>
            <w:vAlign w:val="bottom"/>
            <w:gridSpan w:val="6"/>
          </w:tcPr>
          <w:p>
            <w:pPr>
              <w:spacing w:after="0"/>
              <w:rPr>
                <w:sz w:val="20"/>
                <w:szCs w:val="20"/>
                <w:color w:val="auto"/>
              </w:rPr>
            </w:pPr>
            <w:r>
              <w:rPr>
                <w:rFonts w:ascii="Arial" w:cs="Arial" w:eastAsia="Arial" w:hAnsi="Arial"/>
                <w:sz w:val="18"/>
                <w:szCs w:val="18"/>
                <w:color w:val="auto"/>
                <w:w w:val="90"/>
              </w:rPr>
              <w:t>Engineering Batches. Lonza shall manufacture Engineering Batches in accordance with the Project Plan, the other applicable terms</w:t>
            </w:r>
          </w:p>
        </w:tc>
      </w:tr>
      <w:tr>
        <w:trPr>
          <w:trHeight w:val="20"/>
        </w:trPr>
        <w:tc>
          <w:tcPr>
            <w:tcW w:w="19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3"/>
              </w:rPr>
              <w:t>of this Agreement and the Quality Agreement. Forty Seven shall have the right to make whatever further use of the non-cGMP</w:t>
            </w:r>
          </w:p>
        </w:tc>
      </w:tr>
      <w:tr>
        <w:trPr>
          <w:trHeight w:val="216"/>
        </w:trPr>
        <w:tc>
          <w:tcPr>
            <w:tcW w:w="1940" w:type="dxa"/>
            <w:vAlign w:val="bottom"/>
          </w:tcPr>
          <w:p>
            <w:pPr>
              <w:spacing w:after="0"/>
              <w:rPr>
                <w:sz w:val="18"/>
                <w:szCs w:val="18"/>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1"/>
              </w:rPr>
              <w:t>Engineering Batches as it shall determine, provided that Forty Seven pays for any such Batches manufactured in accordance with</w:t>
            </w:r>
          </w:p>
        </w:tc>
      </w:tr>
      <w:tr>
        <w:trPr>
          <w:trHeight w:val="216"/>
        </w:trPr>
        <w:tc>
          <w:tcPr>
            <w:tcW w:w="1940" w:type="dxa"/>
            <w:vAlign w:val="bottom"/>
          </w:tcPr>
          <w:p>
            <w:pPr>
              <w:spacing w:after="0"/>
              <w:rPr>
                <w:sz w:val="18"/>
                <w:szCs w:val="18"/>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1"/>
              </w:rPr>
              <w:t>this Section 2.2 at the rate set forth in Clause 8.1, such use is not for human use and does not violate any Applicable Laws. Lonza</w:t>
            </w:r>
          </w:p>
        </w:tc>
      </w:tr>
      <w:tr>
        <w:trPr>
          <w:trHeight w:val="216"/>
        </w:trPr>
        <w:tc>
          <w:tcPr>
            <w:tcW w:w="1940" w:type="dxa"/>
            <w:vAlign w:val="bottom"/>
          </w:tcPr>
          <w:p>
            <w:pPr>
              <w:spacing w:after="0"/>
              <w:rPr>
                <w:sz w:val="18"/>
                <w:szCs w:val="18"/>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4"/>
              </w:rPr>
              <w:t>makes no warranty that Engineering Batches will meet CGMP and Specifications, but Lonza will use commercially reasonable</w:t>
            </w:r>
          </w:p>
        </w:tc>
      </w:tr>
      <w:tr>
        <w:trPr>
          <w:trHeight w:val="216"/>
        </w:trPr>
        <w:tc>
          <w:tcPr>
            <w:tcW w:w="1940" w:type="dxa"/>
            <w:vAlign w:val="bottom"/>
          </w:tcPr>
          <w:p>
            <w:pPr>
              <w:spacing w:after="0"/>
              <w:rPr>
                <w:sz w:val="18"/>
                <w:szCs w:val="18"/>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2"/>
              </w:rPr>
              <w:t>efforts to meet CGMP and Specifications with respect to each Engineering Batch. If Lonza determines that an Engineering Batch</w:t>
            </w:r>
          </w:p>
        </w:tc>
      </w:tr>
      <w:tr>
        <w:trPr>
          <w:trHeight w:val="216"/>
        </w:trPr>
        <w:tc>
          <w:tcPr>
            <w:tcW w:w="1940" w:type="dxa"/>
            <w:vAlign w:val="bottom"/>
          </w:tcPr>
          <w:p>
            <w:pPr>
              <w:spacing w:after="0"/>
              <w:rPr>
                <w:sz w:val="18"/>
                <w:szCs w:val="18"/>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4"/>
              </w:rPr>
              <w:t>does meet cGMP and the Specifications, it will release such Engineering Batch as a cGMP Batch. Regardless of whether any</w:t>
            </w:r>
          </w:p>
        </w:tc>
      </w:tr>
      <w:tr>
        <w:trPr>
          <w:trHeight w:val="216"/>
        </w:trPr>
        <w:tc>
          <w:tcPr>
            <w:tcW w:w="1940" w:type="dxa"/>
            <w:vAlign w:val="bottom"/>
          </w:tcPr>
          <w:p>
            <w:pPr>
              <w:spacing w:after="0"/>
              <w:rPr>
                <w:sz w:val="18"/>
                <w:szCs w:val="18"/>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2"/>
              </w:rPr>
              <w:t>Engineering Batch meets cGMP or the Specifications, Forty Seven shall pay to Lonza the Price for such Engineering Batch plus</w:t>
            </w:r>
          </w:p>
        </w:tc>
      </w:tr>
      <w:tr>
        <w:trPr>
          <w:trHeight w:val="230"/>
        </w:trPr>
        <w:tc>
          <w:tcPr>
            <w:tcW w:w="1940" w:type="dxa"/>
            <w:vAlign w:val="bottom"/>
          </w:tcPr>
          <w:p>
            <w:pPr>
              <w:spacing w:after="0"/>
              <w:rPr>
                <w:sz w:val="20"/>
                <w:szCs w:val="20"/>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rPr>
              <w:t>the Raw Materials Fee associated with such Engineering Batches.</w:t>
            </w:r>
          </w:p>
        </w:tc>
      </w:tr>
      <w:tr>
        <w:trPr>
          <w:trHeight w:val="297"/>
        </w:trPr>
        <w:tc>
          <w:tcPr>
            <w:tcW w:w="1940" w:type="dxa"/>
            <w:vAlign w:val="bottom"/>
          </w:tcPr>
          <w:p>
            <w:pPr>
              <w:jc w:val="right"/>
              <w:ind w:right="710"/>
              <w:spacing w:after="0"/>
              <w:rPr>
                <w:sz w:val="20"/>
                <w:szCs w:val="20"/>
                <w:color w:val="auto"/>
              </w:rPr>
            </w:pPr>
            <w:r>
              <w:rPr>
                <w:rFonts w:ascii="Arial" w:cs="Arial" w:eastAsia="Arial" w:hAnsi="Arial"/>
                <w:sz w:val="18"/>
                <w:szCs w:val="18"/>
                <w:color w:val="auto"/>
              </w:rPr>
              <w:t>2.3</w:t>
            </w:r>
          </w:p>
        </w:tc>
        <w:tc>
          <w:tcPr>
            <w:tcW w:w="9440" w:type="dxa"/>
            <w:vAlign w:val="bottom"/>
            <w:gridSpan w:val="6"/>
          </w:tcPr>
          <w:p>
            <w:pPr>
              <w:spacing w:after="0"/>
              <w:rPr>
                <w:sz w:val="20"/>
                <w:szCs w:val="20"/>
                <w:color w:val="auto"/>
              </w:rPr>
            </w:pPr>
            <w:r>
              <w:rPr>
                <w:rFonts w:ascii="Arial" w:cs="Arial" w:eastAsia="Arial" w:hAnsi="Arial"/>
                <w:sz w:val="18"/>
                <w:szCs w:val="18"/>
                <w:color w:val="auto"/>
                <w:w w:val="93"/>
              </w:rPr>
              <w:t>cGMP Batches. Lonza will, in accordance with the terms of this Agreement and Quality Agreement, manufacture at the Facility</w:t>
            </w:r>
          </w:p>
        </w:tc>
      </w:tr>
      <w:tr>
        <w:trPr>
          <w:trHeight w:val="20"/>
        </w:trPr>
        <w:tc>
          <w:tcPr>
            <w:tcW w:w="19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2"/>
              </w:rPr>
              <w:t>and release to Forty Seven, cGMP Batches that comply with the Manufacturing Process, cGMP and the Specifications, together</w:t>
            </w:r>
          </w:p>
        </w:tc>
      </w:tr>
      <w:tr>
        <w:trPr>
          <w:trHeight w:val="216"/>
        </w:trPr>
        <w:tc>
          <w:tcPr>
            <w:tcW w:w="1940" w:type="dxa"/>
            <w:vAlign w:val="bottom"/>
          </w:tcPr>
          <w:p>
            <w:pPr>
              <w:spacing w:after="0"/>
              <w:rPr>
                <w:sz w:val="18"/>
                <w:szCs w:val="18"/>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6"/>
              </w:rPr>
              <w:t>with a Certificate of Analysis (such manufacture, “cGMP manufacture”); provided, however, that (i) Lonza is not obligated to</w:t>
            </w:r>
          </w:p>
        </w:tc>
      </w:tr>
      <w:tr>
        <w:trPr>
          <w:trHeight w:val="216"/>
        </w:trPr>
        <w:tc>
          <w:tcPr>
            <w:tcW w:w="1940" w:type="dxa"/>
            <w:vAlign w:val="bottom"/>
          </w:tcPr>
          <w:p>
            <w:pPr>
              <w:spacing w:after="0"/>
              <w:rPr>
                <w:sz w:val="18"/>
                <w:szCs w:val="18"/>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1"/>
              </w:rPr>
              <w:t>commence cGMP manufacture until at least [*] has been manufactured in compliance with cGMP and Specifications and (ii) after</w:t>
            </w:r>
          </w:p>
        </w:tc>
      </w:tr>
      <w:tr>
        <w:trPr>
          <w:trHeight w:val="216"/>
        </w:trPr>
        <w:tc>
          <w:tcPr>
            <w:tcW w:w="1940" w:type="dxa"/>
            <w:vAlign w:val="bottom"/>
          </w:tcPr>
          <w:p>
            <w:pPr>
              <w:spacing w:after="0"/>
              <w:rPr>
                <w:sz w:val="18"/>
                <w:szCs w:val="18"/>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2"/>
              </w:rPr>
              <w:t>any change in the process for such Product agreed to or requested by Forty Seven, Lonza shall not be obligated to recommence</w:t>
            </w:r>
          </w:p>
        </w:tc>
      </w:tr>
      <w:tr>
        <w:trPr>
          <w:trHeight w:val="216"/>
        </w:trPr>
        <w:tc>
          <w:tcPr>
            <w:tcW w:w="1940" w:type="dxa"/>
            <w:vAlign w:val="bottom"/>
          </w:tcPr>
          <w:p>
            <w:pPr>
              <w:spacing w:after="0"/>
              <w:rPr>
                <w:sz w:val="18"/>
                <w:szCs w:val="18"/>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1"/>
              </w:rPr>
              <w:t>cGMP manufacture until at least [*] has been manufactured in compliance with cGMP and Specifications. Prior to commencement</w:t>
            </w:r>
          </w:p>
        </w:tc>
      </w:tr>
      <w:tr>
        <w:trPr>
          <w:trHeight w:val="216"/>
        </w:trPr>
        <w:tc>
          <w:tcPr>
            <w:tcW w:w="1940" w:type="dxa"/>
            <w:vAlign w:val="bottom"/>
          </w:tcPr>
          <w:p>
            <w:pPr>
              <w:spacing w:after="0"/>
              <w:rPr>
                <w:sz w:val="18"/>
                <w:szCs w:val="18"/>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0"/>
              </w:rPr>
              <w:t>of cGMP manufacturing, Lonza shall review the process assumptions. In the event that there is a material difference in the process</w:t>
            </w:r>
          </w:p>
        </w:tc>
      </w:tr>
      <w:tr>
        <w:trPr>
          <w:trHeight w:val="216"/>
        </w:trPr>
        <w:tc>
          <w:tcPr>
            <w:tcW w:w="1940" w:type="dxa"/>
            <w:vAlign w:val="bottom"/>
          </w:tcPr>
          <w:p>
            <w:pPr>
              <w:spacing w:after="0"/>
              <w:rPr>
                <w:sz w:val="18"/>
                <w:szCs w:val="18"/>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0"/>
              </w:rPr>
              <w:t>assumptions as compared with the process results demonstrated during the manufacture of Engineering Batches, the Parties shall</w:t>
            </w:r>
          </w:p>
        </w:tc>
      </w:tr>
      <w:tr>
        <w:trPr>
          <w:trHeight w:val="230"/>
        </w:trPr>
        <w:tc>
          <w:tcPr>
            <w:tcW w:w="1940" w:type="dxa"/>
            <w:vAlign w:val="bottom"/>
          </w:tcPr>
          <w:p>
            <w:pPr>
              <w:spacing w:after="0"/>
              <w:rPr>
                <w:sz w:val="20"/>
                <w:szCs w:val="20"/>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rPr>
              <w:t>meet to discuss in good faith a revision to the Batch Price to reflect such difference.</w:t>
            </w:r>
          </w:p>
        </w:tc>
      </w:tr>
      <w:tr>
        <w:trPr>
          <w:trHeight w:val="297"/>
        </w:trPr>
        <w:tc>
          <w:tcPr>
            <w:tcW w:w="1940" w:type="dxa"/>
            <w:vAlign w:val="bottom"/>
          </w:tcPr>
          <w:p>
            <w:pPr>
              <w:jc w:val="right"/>
              <w:ind w:right="710"/>
              <w:spacing w:after="0"/>
              <w:rPr>
                <w:sz w:val="20"/>
                <w:szCs w:val="20"/>
                <w:color w:val="auto"/>
              </w:rPr>
            </w:pPr>
            <w:r>
              <w:rPr>
                <w:rFonts w:ascii="Arial" w:cs="Arial" w:eastAsia="Arial" w:hAnsi="Arial"/>
                <w:sz w:val="18"/>
                <w:szCs w:val="18"/>
                <w:color w:val="auto"/>
              </w:rPr>
              <w:t>2.4</w:t>
            </w:r>
          </w:p>
        </w:tc>
        <w:tc>
          <w:tcPr>
            <w:tcW w:w="9440" w:type="dxa"/>
            <w:vAlign w:val="bottom"/>
            <w:gridSpan w:val="6"/>
          </w:tcPr>
          <w:p>
            <w:pPr>
              <w:spacing w:after="0"/>
              <w:rPr>
                <w:sz w:val="20"/>
                <w:szCs w:val="20"/>
                <w:color w:val="auto"/>
              </w:rPr>
            </w:pPr>
            <w:r>
              <w:rPr>
                <w:rFonts w:ascii="Arial" w:cs="Arial" w:eastAsia="Arial" w:hAnsi="Arial"/>
                <w:sz w:val="18"/>
                <w:szCs w:val="18"/>
                <w:color w:val="auto"/>
                <w:w w:val="95"/>
              </w:rPr>
              <w:t>Process Validation Batches. Lonza shall manufacture and deliver Process Validation Batches as mutually agreed by Parties</w:t>
            </w:r>
          </w:p>
        </w:tc>
      </w:tr>
      <w:tr>
        <w:trPr>
          <w:trHeight w:val="20"/>
        </w:trPr>
        <w:tc>
          <w:tcPr>
            <w:tcW w:w="1940" w:type="dxa"/>
            <w:vAlign w:val="bottom"/>
          </w:tcPr>
          <w:p>
            <w:pPr>
              <w:spacing w:after="0" w:line="20" w:lineRule="exact"/>
              <w:rPr>
                <w:sz w:val="1"/>
                <w:szCs w:val="1"/>
                <w:color w:val="auto"/>
              </w:rPr>
            </w:pPr>
          </w:p>
        </w:tc>
        <w:tc>
          <w:tcPr>
            <w:tcW w:w="1660" w:type="dxa"/>
            <w:vAlign w:val="bottom"/>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w w:val="91"/>
              </w:rPr>
              <w:t>sufficient to document the operability and reproducibility of the Manufacturing Process and permit the Parties to complete and file</w:t>
            </w:r>
          </w:p>
        </w:tc>
      </w:tr>
      <w:tr>
        <w:trPr>
          <w:trHeight w:val="230"/>
        </w:trPr>
        <w:tc>
          <w:tcPr>
            <w:tcW w:w="1940" w:type="dxa"/>
            <w:vAlign w:val="bottom"/>
          </w:tcPr>
          <w:p>
            <w:pPr>
              <w:spacing w:after="0"/>
              <w:rPr>
                <w:sz w:val="20"/>
                <w:szCs w:val="20"/>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rPr>
              <w:t>the necessary regulatory documents.</w:t>
            </w:r>
          </w:p>
        </w:tc>
      </w:tr>
      <w:tr>
        <w:trPr>
          <w:trHeight w:val="323"/>
        </w:trPr>
        <w:tc>
          <w:tcPr>
            <w:tcW w:w="19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2.4.1</w:t>
            </w:r>
          </w:p>
        </w:tc>
        <w:tc>
          <w:tcPr>
            <w:tcW w:w="8740" w:type="dxa"/>
            <w:vAlign w:val="bottom"/>
            <w:gridSpan w:val="5"/>
          </w:tcPr>
          <w:p>
            <w:pPr>
              <w:ind w:left="320"/>
              <w:spacing w:after="0"/>
              <w:rPr>
                <w:sz w:val="20"/>
                <w:szCs w:val="20"/>
                <w:color w:val="auto"/>
              </w:rPr>
            </w:pPr>
            <w:r>
              <w:rPr>
                <w:rFonts w:ascii="Arial" w:cs="Arial" w:eastAsia="Arial" w:hAnsi="Arial"/>
                <w:sz w:val="18"/>
                <w:szCs w:val="18"/>
                <w:color w:val="auto"/>
                <w:w w:val="90"/>
              </w:rPr>
              <w:t>Prior to commencement of Process Validation Batches, Lonza and Forty Seven shall agree a process validation plan</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40" w:type="dxa"/>
            <w:vAlign w:val="bottom"/>
            <w:gridSpan w:val="5"/>
          </w:tcPr>
          <w:p>
            <w:pPr>
              <w:ind w:left="320"/>
              <w:spacing w:after="0"/>
              <w:rPr>
                <w:sz w:val="20"/>
                <w:szCs w:val="20"/>
                <w:color w:val="auto"/>
              </w:rPr>
            </w:pPr>
            <w:r>
              <w:rPr>
                <w:rFonts w:ascii="Arial" w:cs="Arial" w:eastAsia="Arial" w:hAnsi="Arial"/>
                <w:sz w:val="18"/>
                <w:szCs w:val="18"/>
                <w:color w:val="auto"/>
                <w:w w:val="93"/>
              </w:rPr>
              <w:t>identifying the validation requirements of the Manufacturing Process. All process validation activities are excluded</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40" w:type="dxa"/>
            <w:vAlign w:val="bottom"/>
            <w:gridSpan w:val="5"/>
          </w:tcPr>
          <w:p>
            <w:pPr>
              <w:ind w:left="320"/>
              <w:spacing w:after="0"/>
              <w:rPr>
                <w:sz w:val="20"/>
                <w:szCs w:val="20"/>
                <w:color w:val="auto"/>
              </w:rPr>
            </w:pPr>
            <w:r>
              <w:rPr>
                <w:rFonts w:ascii="Arial" w:cs="Arial" w:eastAsia="Arial" w:hAnsi="Arial"/>
                <w:sz w:val="18"/>
                <w:szCs w:val="18"/>
                <w:color w:val="auto"/>
                <w:w w:val="92"/>
              </w:rPr>
              <w:t>from the Price of Process Validation Batches shall be approved by Forty Seven in advance and shall be paid for by</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40" w:type="dxa"/>
            <w:vAlign w:val="bottom"/>
            <w:gridSpan w:val="5"/>
          </w:tcPr>
          <w:p>
            <w:pPr>
              <w:ind w:left="320"/>
              <w:spacing w:after="0"/>
              <w:rPr>
                <w:sz w:val="20"/>
                <w:szCs w:val="20"/>
                <w:color w:val="auto"/>
              </w:rPr>
            </w:pPr>
            <w:r>
              <w:rPr>
                <w:rFonts w:ascii="Arial" w:cs="Arial" w:eastAsia="Arial" w:hAnsi="Arial"/>
                <w:sz w:val="18"/>
                <w:szCs w:val="18"/>
                <w:color w:val="auto"/>
              </w:rPr>
              <w:t>Forty Seven at the Price set out in the applicable Project Plan. Any regulatory support activities (including</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40" w:type="dxa"/>
            <w:vAlign w:val="bottom"/>
            <w:gridSpan w:val="5"/>
          </w:tcPr>
          <w:p>
            <w:pPr>
              <w:ind w:left="320"/>
              <w:spacing w:after="0"/>
              <w:rPr>
                <w:sz w:val="20"/>
                <w:szCs w:val="20"/>
                <w:color w:val="auto"/>
              </w:rPr>
            </w:pPr>
            <w:r>
              <w:rPr>
                <w:rFonts w:ascii="Arial" w:cs="Arial" w:eastAsia="Arial" w:hAnsi="Arial"/>
                <w:sz w:val="18"/>
                <w:szCs w:val="18"/>
                <w:color w:val="auto"/>
                <w:w w:val="94"/>
              </w:rPr>
              <w:t>pre-Approval inspection) required and agreed to by Forty Seven to support the Approval of the Product from the</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40" w:type="dxa"/>
            <w:vAlign w:val="bottom"/>
            <w:gridSpan w:val="5"/>
          </w:tcPr>
          <w:p>
            <w:pPr>
              <w:ind w:left="320"/>
              <w:spacing w:after="0"/>
              <w:rPr>
                <w:sz w:val="20"/>
                <w:szCs w:val="20"/>
                <w:color w:val="auto"/>
              </w:rPr>
            </w:pPr>
            <w:r>
              <w:rPr>
                <w:rFonts w:ascii="Arial" w:cs="Arial" w:eastAsia="Arial" w:hAnsi="Arial"/>
                <w:sz w:val="18"/>
                <w:szCs w:val="18"/>
                <w:color w:val="auto"/>
                <w:w w:val="93"/>
              </w:rPr>
              <w:t>Facility shall be performed and supported by Lonza as reasonably requested by Forty Seven. The cost of all such</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40" w:type="dxa"/>
            <w:vAlign w:val="bottom"/>
            <w:gridSpan w:val="5"/>
          </w:tcPr>
          <w:p>
            <w:pPr>
              <w:ind w:left="320"/>
              <w:spacing w:after="0"/>
              <w:rPr>
                <w:sz w:val="20"/>
                <w:szCs w:val="20"/>
                <w:color w:val="auto"/>
              </w:rPr>
            </w:pPr>
            <w:r>
              <w:rPr>
                <w:rFonts w:ascii="Arial" w:cs="Arial" w:eastAsia="Arial" w:hAnsi="Arial"/>
                <w:sz w:val="18"/>
                <w:szCs w:val="18"/>
                <w:color w:val="auto"/>
                <w:w w:val="92"/>
              </w:rPr>
              <w:t>regulatory support activities are excluded from the Price of Process Validation Batches, shall be approved by Forty</w:t>
            </w:r>
          </w:p>
        </w:tc>
      </w:tr>
      <w:tr>
        <w:trPr>
          <w:trHeight w:val="230"/>
        </w:trPr>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40" w:type="dxa"/>
            <w:vAlign w:val="bottom"/>
            <w:gridSpan w:val="5"/>
          </w:tcPr>
          <w:p>
            <w:pPr>
              <w:ind w:left="320"/>
              <w:spacing w:after="0"/>
              <w:rPr>
                <w:sz w:val="20"/>
                <w:szCs w:val="20"/>
                <w:color w:val="auto"/>
              </w:rPr>
            </w:pPr>
            <w:r>
              <w:rPr>
                <w:rFonts w:ascii="Arial" w:cs="Arial" w:eastAsia="Arial" w:hAnsi="Arial"/>
                <w:sz w:val="18"/>
                <w:szCs w:val="18"/>
                <w:color w:val="auto"/>
              </w:rPr>
              <w:t>Seven in advance, and shall be paid for by Forty Seven at the Price set out in the applicable Project Plan.</w:t>
            </w:r>
          </w:p>
        </w:tc>
      </w:tr>
      <w:tr>
        <w:trPr>
          <w:trHeight w:val="297"/>
        </w:trPr>
        <w:tc>
          <w:tcPr>
            <w:tcW w:w="1940" w:type="dxa"/>
            <w:vAlign w:val="bottom"/>
          </w:tcPr>
          <w:p>
            <w:pPr>
              <w:jc w:val="right"/>
              <w:ind w:right="710"/>
              <w:spacing w:after="0"/>
              <w:rPr>
                <w:sz w:val="20"/>
                <w:szCs w:val="20"/>
                <w:color w:val="auto"/>
              </w:rPr>
            </w:pPr>
            <w:r>
              <w:rPr>
                <w:rFonts w:ascii="Arial" w:cs="Arial" w:eastAsia="Arial" w:hAnsi="Arial"/>
                <w:sz w:val="18"/>
                <w:szCs w:val="18"/>
                <w:color w:val="auto"/>
              </w:rPr>
              <w:t>2.5</w:t>
            </w:r>
          </w:p>
        </w:tc>
        <w:tc>
          <w:tcPr>
            <w:tcW w:w="9440" w:type="dxa"/>
            <w:vAlign w:val="bottom"/>
            <w:gridSpan w:val="6"/>
          </w:tcPr>
          <w:p>
            <w:pPr>
              <w:spacing w:after="0"/>
              <w:rPr>
                <w:sz w:val="20"/>
                <w:szCs w:val="20"/>
                <w:color w:val="auto"/>
              </w:rPr>
            </w:pPr>
            <w:r>
              <w:rPr>
                <w:rFonts w:ascii="Arial" w:cs="Arial" w:eastAsia="Arial" w:hAnsi="Arial"/>
                <w:sz w:val="18"/>
                <w:szCs w:val="18"/>
                <w:color w:val="auto"/>
                <w:w w:val="95"/>
              </w:rPr>
              <w:t>Manufacturing Process. Any changes to the Specifications or the Manufacturing Process for a Product shall be carried out in</w:t>
            </w:r>
          </w:p>
        </w:tc>
      </w:tr>
      <w:tr>
        <w:trPr>
          <w:trHeight w:val="20"/>
        </w:trPr>
        <w:tc>
          <w:tcPr>
            <w:tcW w:w="1940" w:type="dxa"/>
            <w:vAlign w:val="bottom"/>
          </w:tcPr>
          <w:p>
            <w:pPr>
              <w:spacing w:after="0" w:line="20" w:lineRule="exact"/>
              <w:rPr>
                <w:sz w:val="1"/>
                <w:szCs w:val="1"/>
                <w:color w:val="auto"/>
              </w:rPr>
            </w:pPr>
          </w:p>
        </w:tc>
        <w:tc>
          <w:tcPr>
            <w:tcW w:w="1660" w:type="dxa"/>
            <w:vAlign w:val="bottom"/>
            <w:gridSpan w:val="4"/>
            <w:shd w:val="clear" w:color="auto" w:fill="000000"/>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r>
      <w:tr>
        <w:trPr>
          <w:trHeight w:val="237"/>
        </w:trPr>
        <w:tc>
          <w:tcPr>
            <w:tcW w:w="1940" w:type="dxa"/>
            <w:vAlign w:val="bottom"/>
          </w:tcPr>
          <w:p>
            <w:pPr>
              <w:spacing w:after="0"/>
              <w:rPr>
                <w:sz w:val="20"/>
                <w:szCs w:val="20"/>
                <w:color w:val="auto"/>
              </w:rPr>
            </w:pPr>
          </w:p>
        </w:tc>
        <w:tc>
          <w:tcPr>
            <w:tcW w:w="9440" w:type="dxa"/>
            <w:vAlign w:val="bottom"/>
            <w:gridSpan w:val="6"/>
          </w:tcPr>
          <w:p>
            <w:pPr>
              <w:spacing w:after="0"/>
              <w:rPr>
                <w:sz w:val="20"/>
                <w:szCs w:val="20"/>
                <w:color w:val="auto"/>
              </w:rPr>
            </w:pPr>
            <w:r>
              <w:rPr>
                <w:rFonts w:ascii="Arial" w:cs="Arial" w:eastAsia="Arial" w:hAnsi="Arial"/>
                <w:sz w:val="18"/>
                <w:szCs w:val="18"/>
                <w:color w:val="auto"/>
              </w:rPr>
              <w:t>accordance with the Quality Agreement and Lonza’s standard operating procedures.</w:t>
            </w:r>
          </w:p>
        </w:tc>
      </w:tr>
      <w:tr>
        <w:trPr>
          <w:trHeight w:val="365"/>
        </w:trPr>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740" w:type="dxa"/>
            <w:vAlign w:val="bottom"/>
            <w:gridSpan w:val="5"/>
          </w:tcPr>
          <w:p>
            <w:pPr>
              <w:ind w:left="3020"/>
              <w:spacing w:after="0"/>
              <w:rPr>
                <w:sz w:val="20"/>
                <w:szCs w:val="20"/>
                <w:color w:val="auto"/>
              </w:rPr>
            </w:pPr>
            <w:r>
              <w:rPr>
                <w:rFonts w:ascii="Arial" w:cs="Arial" w:eastAsia="Arial" w:hAnsi="Arial"/>
                <w:sz w:val="18"/>
                <w:szCs w:val="18"/>
                <w:color w:val="auto"/>
              </w:rPr>
              <w:t>9</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0">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r>
    </w:p>
    <w:p>
      <w:pPr>
        <w:ind w:right="700" w:firstLine="8"/>
        <w:spacing w:after="0" w:line="277" w:lineRule="auto"/>
        <w:tabs>
          <w:tab w:leader="none" w:pos="255"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80"/>
          </w:cols>
          <w:pgMar w:left="240" w:top="881" w:right="279" w:bottom="1440" w:gutter="0" w:footer="0" w:header="0"/>
        </w:sectPr>
      </w:pPr>
    </w:p>
    <w:bookmarkStart w:id="444" w:name="page445"/>
    <w:bookmarkEnd w:id="444"/>
    <w:tbl>
      <w:tblPr>
        <w:tblLayout w:type="fixed"/>
        <w:tblInd w:w="0" w:type="dxa"/>
        <w:tblCellMar>
          <w:top w:w="0" w:type="dxa"/>
          <w:left w:w="0" w:type="dxa"/>
          <w:bottom w:w="0" w:type="dxa"/>
          <w:right w:w="0" w:type="dxa"/>
        </w:tblCellMar>
      </w:tblPr>
      <w:tr>
        <w:trPr>
          <w:trHeight w:val="230"/>
        </w:trPr>
        <w:tc>
          <w:tcPr>
            <w:tcW w:w="1940" w:type="dxa"/>
            <w:vAlign w:val="bottom"/>
          </w:tcPr>
          <w:p>
            <w:pPr>
              <w:jc w:val="right"/>
              <w:ind w:right="530"/>
              <w:spacing w:after="0"/>
              <w:rPr>
                <w:sz w:val="20"/>
                <w:szCs w:val="20"/>
                <w:color w:val="auto"/>
              </w:rPr>
            </w:pPr>
            <w:r>
              <w:rPr>
                <w:rFonts w:ascii="Arial" w:cs="Arial" w:eastAsia="Arial" w:hAnsi="Arial"/>
                <w:sz w:val="18"/>
                <w:szCs w:val="18"/>
                <w:color w:val="auto"/>
                <w:w w:val="98"/>
              </w:rPr>
              <w:t>CONFIDENTIAL</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324"/>
        </w:trPr>
        <w:tc>
          <w:tcPr>
            <w:tcW w:w="1940" w:type="dxa"/>
            <w:vAlign w:val="bottom"/>
          </w:tcPr>
          <w:p>
            <w:pPr>
              <w:jc w:val="right"/>
              <w:ind w:right="710"/>
              <w:spacing w:after="0"/>
              <w:rPr>
                <w:sz w:val="20"/>
                <w:szCs w:val="20"/>
                <w:color w:val="auto"/>
              </w:rPr>
            </w:pPr>
            <w:r>
              <w:rPr>
                <w:rFonts w:ascii="Arial" w:cs="Arial" w:eastAsia="Arial" w:hAnsi="Arial"/>
                <w:sz w:val="18"/>
                <w:szCs w:val="18"/>
                <w:color w:val="auto"/>
              </w:rPr>
              <w:t>2.6</w:t>
            </w:r>
          </w:p>
        </w:tc>
        <w:tc>
          <w:tcPr>
            <w:tcW w:w="9460" w:type="dxa"/>
            <w:vAlign w:val="bottom"/>
            <w:gridSpan w:val="7"/>
          </w:tcPr>
          <w:p>
            <w:pPr>
              <w:spacing w:after="0"/>
              <w:rPr>
                <w:sz w:val="20"/>
                <w:szCs w:val="20"/>
                <w:color w:val="auto"/>
              </w:rPr>
            </w:pPr>
            <w:r>
              <w:rPr>
                <w:rFonts w:ascii="Arial" w:cs="Arial" w:eastAsia="Arial" w:hAnsi="Arial"/>
                <w:sz w:val="18"/>
                <w:szCs w:val="18"/>
                <w:color w:val="auto"/>
                <w:w w:val="92"/>
              </w:rPr>
              <w:t>Supply of Forty Seven Information and Forty Seven Materials. Forty Seven shall supply to Lonza all Forty Seven Information and</w:t>
            </w:r>
          </w:p>
        </w:tc>
      </w:tr>
      <w:tr>
        <w:trPr>
          <w:trHeight w:val="20"/>
        </w:trPr>
        <w:tc>
          <w:tcPr>
            <w:tcW w:w="194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60" w:type="dxa"/>
            <w:vAlign w:val="bottom"/>
            <w:gridSpan w:val="7"/>
          </w:tcPr>
          <w:p>
            <w:pPr>
              <w:spacing w:after="0"/>
              <w:rPr>
                <w:sz w:val="20"/>
                <w:szCs w:val="20"/>
                <w:color w:val="auto"/>
              </w:rPr>
            </w:pPr>
            <w:r>
              <w:rPr>
                <w:rFonts w:ascii="Arial" w:cs="Arial" w:eastAsia="Arial" w:hAnsi="Arial"/>
                <w:sz w:val="18"/>
                <w:szCs w:val="18"/>
                <w:color w:val="auto"/>
                <w:w w:val="95"/>
              </w:rPr>
              <w:t>Forty Seven Materials, and other information or materials that may be reasonably required by Lonza to perform the Services.</w:t>
            </w:r>
          </w:p>
        </w:tc>
      </w:tr>
      <w:tr>
        <w:trPr>
          <w:trHeight w:val="216"/>
        </w:trPr>
        <w:tc>
          <w:tcPr>
            <w:tcW w:w="1940" w:type="dxa"/>
            <w:vAlign w:val="bottom"/>
          </w:tcPr>
          <w:p>
            <w:pPr>
              <w:spacing w:after="0"/>
              <w:rPr>
                <w:sz w:val="18"/>
                <w:szCs w:val="18"/>
                <w:color w:val="auto"/>
              </w:rPr>
            </w:pPr>
          </w:p>
        </w:tc>
        <w:tc>
          <w:tcPr>
            <w:tcW w:w="9460" w:type="dxa"/>
            <w:vAlign w:val="bottom"/>
            <w:gridSpan w:val="7"/>
          </w:tcPr>
          <w:p>
            <w:pPr>
              <w:spacing w:after="0"/>
              <w:rPr>
                <w:sz w:val="20"/>
                <w:szCs w:val="20"/>
                <w:color w:val="auto"/>
              </w:rPr>
            </w:pPr>
            <w:r>
              <w:rPr>
                <w:rFonts w:ascii="Arial" w:cs="Arial" w:eastAsia="Arial" w:hAnsi="Arial"/>
                <w:sz w:val="18"/>
                <w:szCs w:val="18"/>
                <w:color w:val="auto"/>
                <w:w w:val="93"/>
              </w:rPr>
              <w:t>Lonza shall not be responsible for any delays arising out of Forty Seven’s failure to provide such Forty Seven Information, Forty</w:t>
            </w:r>
          </w:p>
        </w:tc>
      </w:tr>
      <w:tr>
        <w:trPr>
          <w:trHeight w:val="216"/>
        </w:trPr>
        <w:tc>
          <w:tcPr>
            <w:tcW w:w="1940" w:type="dxa"/>
            <w:vAlign w:val="bottom"/>
          </w:tcPr>
          <w:p>
            <w:pPr>
              <w:spacing w:after="0"/>
              <w:rPr>
                <w:sz w:val="18"/>
                <w:szCs w:val="18"/>
                <w:color w:val="auto"/>
              </w:rPr>
            </w:pPr>
          </w:p>
        </w:tc>
        <w:tc>
          <w:tcPr>
            <w:tcW w:w="9460" w:type="dxa"/>
            <w:vAlign w:val="bottom"/>
            <w:gridSpan w:val="7"/>
          </w:tcPr>
          <w:p>
            <w:pPr>
              <w:spacing w:after="0"/>
              <w:rPr>
                <w:sz w:val="20"/>
                <w:szCs w:val="20"/>
                <w:color w:val="auto"/>
              </w:rPr>
            </w:pPr>
            <w:r>
              <w:rPr>
                <w:rFonts w:ascii="Arial" w:cs="Arial" w:eastAsia="Arial" w:hAnsi="Arial"/>
                <w:sz w:val="18"/>
                <w:szCs w:val="18"/>
                <w:color w:val="auto"/>
                <w:w w:val="95"/>
              </w:rPr>
              <w:t>Seven Materials, or other information or materials reasonably required to perform the Services to Lonza, and [*], including, if</w:t>
            </w:r>
          </w:p>
        </w:tc>
      </w:tr>
      <w:tr>
        <w:trPr>
          <w:trHeight w:val="230"/>
        </w:trPr>
        <w:tc>
          <w:tcPr>
            <w:tcW w:w="1940" w:type="dxa"/>
            <w:vAlign w:val="bottom"/>
          </w:tcPr>
          <w:p>
            <w:pPr>
              <w:spacing w:after="0"/>
              <w:rPr>
                <w:sz w:val="20"/>
                <w:szCs w:val="20"/>
                <w:color w:val="auto"/>
              </w:rPr>
            </w:pPr>
          </w:p>
        </w:tc>
        <w:tc>
          <w:tcPr>
            <w:tcW w:w="9460" w:type="dxa"/>
            <w:vAlign w:val="bottom"/>
            <w:gridSpan w:val="7"/>
          </w:tcPr>
          <w:p>
            <w:pPr>
              <w:spacing w:after="0"/>
              <w:rPr>
                <w:sz w:val="20"/>
                <w:szCs w:val="20"/>
                <w:color w:val="auto"/>
              </w:rPr>
            </w:pPr>
            <w:r>
              <w:rPr>
                <w:rFonts w:ascii="Arial" w:cs="Arial" w:eastAsia="Arial" w:hAnsi="Arial"/>
                <w:sz w:val="18"/>
                <w:szCs w:val="18"/>
                <w:color w:val="auto"/>
              </w:rPr>
              <w:t>applicable, [*].</w:t>
            </w:r>
          </w:p>
        </w:tc>
      </w:tr>
      <w:tr>
        <w:trPr>
          <w:trHeight w:val="297"/>
        </w:trPr>
        <w:tc>
          <w:tcPr>
            <w:tcW w:w="1940" w:type="dxa"/>
            <w:vAlign w:val="bottom"/>
          </w:tcPr>
          <w:p>
            <w:pPr>
              <w:jc w:val="right"/>
              <w:ind w:right="710"/>
              <w:spacing w:after="0"/>
              <w:rPr>
                <w:sz w:val="20"/>
                <w:szCs w:val="20"/>
                <w:color w:val="auto"/>
              </w:rPr>
            </w:pPr>
            <w:r>
              <w:rPr>
                <w:rFonts w:ascii="Arial" w:cs="Arial" w:eastAsia="Arial" w:hAnsi="Arial"/>
                <w:sz w:val="18"/>
                <w:szCs w:val="18"/>
                <w:color w:val="auto"/>
              </w:rPr>
              <w:t>2.7</w:t>
            </w:r>
          </w:p>
        </w:tc>
        <w:tc>
          <w:tcPr>
            <w:tcW w:w="9460" w:type="dxa"/>
            <w:vAlign w:val="bottom"/>
            <w:gridSpan w:val="7"/>
          </w:tcPr>
          <w:p>
            <w:pPr>
              <w:spacing w:after="0"/>
              <w:rPr>
                <w:sz w:val="20"/>
                <w:szCs w:val="20"/>
                <w:color w:val="auto"/>
              </w:rPr>
            </w:pPr>
            <w:r>
              <w:rPr>
                <w:rFonts w:ascii="Arial" w:cs="Arial" w:eastAsia="Arial" w:hAnsi="Arial"/>
                <w:sz w:val="18"/>
                <w:szCs w:val="18"/>
                <w:color w:val="auto"/>
              </w:rPr>
              <w:t>Forty Seven Materials.</w:t>
            </w:r>
          </w:p>
        </w:tc>
      </w:tr>
      <w:tr>
        <w:trPr>
          <w:trHeight w:val="20"/>
        </w:trPr>
        <w:tc>
          <w:tcPr>
            <w:tcW w:w="194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r>
      <w:tr>
        <w:trPr>
          <w:trHeight w:val="318"/>
        </w:trPr>
        <w:tc>
          <w:tcPr>
            <w:tcW w:w="19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2.7.1</w:t>
            </w:r>
          </w:p>
        </w:tc>
        <w:tc>
          <w:tcPr>
            <w:tcW w:w="8400" w:type="dxa"/>
            <w:vAlign w:val="bottom"/>
            <w:gridSpan w:val="6"/>
          </w:tcPr>
          <w:p>
            <w:pPr>
              <w:spacing w:after="0"/>
              <w:rPr>
                <w:sz w:val="20"/>
                <w:szCs w:val="20"/>
                <w:color w:val="auto"/>
              </w:rPr>
            </w:pPr>
            <w:r>
              <w:rPr>
                <w:rFonts w:ascii="Arial" w:cs="Arial" w:eastAsia="Arial" w:hAnsi="Arial"/>
                <w:sz w:val="18"/>
                <w:szCs w:val="18"/>
                <w:color w:val="auto"/>
                <w:w w:val="94"/>
              </w:rPr>
              <w:t>Sale or License. All Forty Seven Materials shall remain the property of Forty Seven, and the transfer of physical</w:t>
            </w:r>
          </w:p>
        </w:tc>
      </w:tr>
      <w:tr>
        <w:trPr>
          <w:trHeight w:val="20"/>
        </w:trPr>
        <w:tc>
          <w:tcPr>
            <w:tcW w:w="194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w w:val="93"/>
              </w:rPr>
              <w:t>possession of any such Forty Seven Materials to, and the physical possession of such Forty Seven Materials by,</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w w:val="90"/>
              </w:rPr>
              <w:t>Lonza, including its Affiliates and/or any External Laboratory shall not be (nor be construed as) a sale, lease, offer to</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rPr>
              <w:t>sell or lease, or other transfer of title of such materials to Lonza including its Affiliates and/or any External</w:t>
            </w:r>
          </w:p>
        </w:tc>
      </w:tr>
      <w:tr>
        <w:trPr>
          <w:trHeight w:val="230"/>
        </w:trPr>
        <w:tc>
          <w:tcPr>
            <w:tcW w:w="1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rPr>
              <w:t>Laboratories, provided that the Cell Line shall be subject always to the terms of the GS License.</w:t>
            </w:r>
          </w:p>
        </w:tc>
      </w:tr>
      <w:tr>
        <w:trPr>
          <w:trHeight w:val="297"/>
        </w:trPr>
        <w:tc>
          <w:tcPr>
            <w:tcW w:w="19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2.7.2</w:t>
            </w:r>
          </w:p>
        </w:tc>
        <w:tc>
          <w:tcPr>
            <w:tcW w:w="8400" w:type="dxa"/>
            <w:vAlign w:val="bottom"/>
            <w:gridSpan w:val="6"/>
          </w:tcPr>
          <w:p>
            <w:pPr>
              <w:spacing w:after="0"/>
              <w:rPr>
                <w:sz w:val="20"/>
                <w:szCs w:val="20"/>
                <w:color w:val="auto"/>
              </w:rPr>
            </w:pPr>
            <w:r>
              <w:rPr>
                <w:rFonts w:ascii="Arial" w:cs="Arial" w:eastAsia="Arial" w:hAnsi="Arial"/>
                <w:sz w:val="18"/>
                <w:szCs w:val="18"/>
                <w:color w:val="auto"/>
                <w:w w:val="91"/>
              </w:rPr>
              <w:t>Limited Use. Lonza including its Affiliates and any External Laboratories shall not use the Forty Seven Materials for</w:t>
            </w:r>
          </w:p>
        </w:tc>
      </w:tr>
      <w:tr>
        <w:trPr>
          <w:trHeight w:val="20"/>
        </w:trPr>
        <w:tc>
          <w:tcPr>
            <w:tcW w:w="194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360" w:type="dxa"/>
            <w:vAlign w:val="bottom"/>
            <w:tcBorders>
              <w:left w:val="single" w:sz="8" w:color="auto"/>
            </w:tcBorders>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w w:val="90"/>
              </w:rPr>
              <w:t>any purpose other than as necessary for the performance of the Services. Subject to clause 2.1, Lonza, including its</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w w:val="94"/>
              </w:rPr>
              <w:t>Affiliates and any External Laboratories will not provide or transfer any Forty Seven Materials to any Third Party</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w w:val="91"/>
              </w:rPr>
              <w:t>without the prior written consent of the Forty Seven. Lonza, its Affiliates and/or any External Laboratories shall only</w:t>
            </w:r>
          </w:p>
        </w:tc>
      </w:tr>
      <w:tr>
        <w:trPr>
          <w:trHeight w:val="230"/>
        </w:trPr>
        <w:tc>
          <w:tcPr>
            <w:tcW w:w="1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rPr>
              <w:t>use the Forty Seven Materials in accordance with this Agreement and Applicable Laws.</w:t>
            </w:r>
          </w:p>
        </w:tc>
      </w:tr>
      <w:tr>
        <w:trPr>
          <w:trHeight w:val="297"/>
        </w:trPr>
        <w:tc>
          <w:tcPr>
            <w:tcW w:w="19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2.7.3</w:t>
            </w:r>
          </w:p>
        </w:tc>
        <w:tc>
          <w:tcPr>
            <w:tcW w:w="8400" w:type="dxa"/>
            <w:vAlign w:val="bottom"/>
            <w:gridSpan w:val="6"/>
          </w:tcPr>
          <w:p>
            <w:pPr>
              <w:spacing w:after="0"/>
              <w:rPr>
                <w:sz w:val="20"/>
                <w:szCs w:val="20"/>
                <w:color w:val="auto"/>
              </w:rPr>
            </w:pPr>
            <w:r>
              <w:rPr>
                <w:rFonts w:ascii="Arial" w:cs="Arial" w:eastAsia="Arial" w:hAnsi="Arial"/>
                <w:sz w:val="18"/>
                <w:szCs w:val="18"/>
                <w:color w:val="auto"/>
                <w:w w:val="95"/>
              </w:rPr>
              <w:t>No Modification or Derivation. Lonza, its Affiliates and External Laboratories shall not attempt to alter or modify</w:t>
            </w:r>
          </w:p>
        </w:tc>
      </w:tr>
      <w:tr>
        <w:trPr>
          <w:trHeight w:val="20"/>
        </w:trPr>
        <w:tc>
          <w:tcPr>
            <w:tcW w:w="194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360" w:type="dxa"/>
            <w:vAlign w:val="bottom"/>
            <w:tcBorders>
              <w:left w:val="single" w:sz="8" w:color="auto"/>
            </w:tcBorders>
            <w:gridSpan w:val="2"/>
            <w:shd w:val="clear" w:color="auto" w:fill="000000"/>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w w:val="96"/>
              </w:rPr>
              <w:t>the Forty Seven Materials in any way, or to make any derivatives or analogs thereof, without the express prior</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w w:val="94"/>
              </w:rPr>
              <w:t>written consent of Forty Seven, and shall not under any circumstances attempt, directly or indirectly, to analyze,</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w w:val="95"/>
              </w:rPr>
              <w:t>characterize, reverse engineer or otherwise derive the structures, sequences, or constructs of the Forty Seven</w:t>
            </w:r>
          </w:p>
        </w:tc>
      </w:tr>
      <w:tr>
        <w:trPr>
          <w:trHeight w:val="230"/>
        </w:trPr>
        <w:tc>
          <w:tcPr>
            <w:tcW w:w="1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rPr>
              <w:t>Materials.</w:t>
            </w:r>
          </w:p>
        </w:tc>
      </w:tr>
      <w:tr>
        <w:trPr>
          <w:trHeight w:val="297"/>
        </w:trPr>
        <w:tc>
          <w:tcPr>
            <w:tcW w:w="19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2.7.4</w:t>
            </w:r>
          </w:p>
        </w:tc>
        <w:tc>
          <w:tcPr>
            <w:tcW w:w="8400" w:type="dxa"/>
            <w:vAlign w:val="bottom"/>
            <w:gridSpan w:val="6"/>
          </w:tcPr>
          <w:p>
            <w:pPr>
              <w:spacing w:after="0"/>
              <w:rPr>
                <w:sz w:val="20"/>
                <w:szCs w:val="20"/>
                <w:color w:val="auto"/>
              </w:rPr>
            </w:pPr>
            <w:r>
              <w:rPr>
                <w:rFonts w:ascii="Arial" w:cs="Arial" w:eastAsia="Arial" w:hAnsi="Arial"/>
                <w:sz w:val="18"/>
                <w:szCs w:val="18"/>
                <w:color w:val="auto"/>
                <w:w w:val="91"/>
              </w:rPr>
              <w:t>Care of Use. Lonza agrees to use, and shall cause its Affiliates and External Laboratories to use reasonable care in</w:t>
            </w:r>
          </w:p>
        </w:tc>
      </w:tr>
      <w:tr>
        <w:trPr>
          <w:trHeight w:val="20"/>
        </w:trPr>
        <w:tc>
          <w:tcPr>
            <w:tcW w:w="194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w w:val="90"/>
              </w:rPr>
              <w:t>the use, handling, storage, containment, transportation and disposition of the Forty Seven Materials. Lonza shall not</w:t>
            </w:r>
          </w:p>
        </w:tc>
      </w:tr>
      <w:tr>
        <w:trPr>
          <w:trHeight w:val="230"/>
        </w:trPr>
        <w:tc>
          <w:tcPr>
            <w:tcW w:w="1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0" w:type="dxa"/>
            <w:vAlign w:val="bottom"/>
            <w:gridSpan w:val="6"/>
          </w:tcPr>
          <w:p>
            <w:pPr>
              <w:spacing w:after="0"/>
              <w:rPr>
                <w:sz w:val="20"/>
                <w:szCs w:val="20"/>
                <w:color w:val="auto"/>
              </w:rPr>
            </w:pPr>
            <w:r>
              <w:rPr>
                <w:rFonts w:ascii="Arial" w:cs="Arial" w:eastAsia="Arial" w:hAnsi="Arial"/>
                <w:sz w:val="18"/>
                <w:szCs w:val="18"/>
                <w:color w:val="auto"/>
                <w:w w:val="90"/>
              </w:rPr>
              <w:t>use, nor authorize the use of, any Forty Seven Materials on or in humans for any purpose under any circumstances.</w:t>
            </w:r>
          </w:p>
        </w:tc>
      </w:tr>
      <w:tr>
        <w:trPr>
          <w:trHeight w:val="297"/>
        </w:trPr>
        <w:tc>
          <w:tcPr>
            <w:tcW w:w="1940" w:type="dxa"/>
            <w:vAlign w:val="bottom"/>
          </w:tcPr>
          <w:p>
            <w:pPr>
              <w:jc w:val="right"/>
              <w:ind w:right="710"/>
              <w:spacing w:after="0"/>
              <w:rPr>
                <w:sz w:val="20"/>
                <w:szCs w:val="20"/>
                <w:color w:val="auto"/>
              </w:rPr>
            </w:pPr>
            <w:r>
              <w:rPr>
                <w:rFonts w:ascii="Arial" w:cs="Arial" w:eastAsia="Arial" w:hAnsi="Arial"/>
                <w:sz w:val="18"/>
                <w:szCs w:val="18"/>
                <w:color w:val="auto"/>
              </w:rPr>
              <w:t>2.8</w:t>
            </w:r>
          </w:p>
        </w:tc>
        <w:tc>
          <w:tcPr>
            <w:tcW w:w="9460" w:type="dxa"/>
            <w:vAlign w:val="bottom"/>
            <w:gridSpan w:val="7"/>
          </w:tcPr>
          <w:p>
            <w:pPr>
              <w:spacing w:after="0"/>
              <w:rPr>
                <w:sz w:val="20"/>
                <w:szCs w:val="20"/>
                <w:color w:val="auto"/>
              </w:rPr>
            </w:pPr>
            <w:r>
              <w:rPr>
                <w:rFonts w:ascii="Arial" w:cs="Arial" w:eastAsia="Arial" w:hAnsi="Arial"/>
                <w:sz w:val="18"/>
                <w:szCs w:val="18"/>
                <w:color w:val="auto"/>
                <w:w w:val="93"/>
              </w:rPr>
              <w:t>Raw Materials. Lonza shall procure all required Raw Materials as well as consumables, other than those Raw Materials that are</w:t>
            </w:r>
          </w:p>
        </w:tc>
      </w:tr>
      <w:tr>
        <w:trPr>
          <w:trHeight w:val="20"/>
        </w:trPr>
        <w:tc>
          <w:tcPr>
            <w:tcW w:w="194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400" w:type="dxa"/>
            <w:vAlign w:val="bottom"/>
            <w:gridSpan w:val="6"/>
          </w:tcPr>
          <w:p>
            <w:pPr>
              <w:spacing w:after="0" w:line="20" w:lineRule="exact"/>
              <w:rPr>
                <w:sz w:val="1"/>
                <w:szCs w:val="1"/>
                <w:color w:val="auto"/>
              </w:rPr>
            </w:pPr>
          </w:p>
        </w:tc>
      </w:tr>
      <w:tr>
        <w:trPr>
          <w:trHeight w:val="237"/>
        </w:trPr>
        <w:tc>
          <w:tcPr>
            <w:tcW w:w="1940" w:type="dxa"/>
            <w:vAlign w:val="bottom"/>
          </w:tcPr>
          <w:p>
            <w:pPr>
              <w:spacing w:after="0"/>
              <w:rPr>
                <w:sz w:val="20"/>
                <w:szCs w:val="20"/>
                <w:color w:val="auto"/>
              </w:rPr>
            </w:pPr>
          </w:p>
        </w:tc>
        <w:tc>
          <w:tcPr>
            <w:tcW w:w="9460" w:type="dxa"/>
            <w:vAlign w:val="bottom"/>
            <w:gridSpan w:val="7"/>
          </w:tcPr>
          <w:p>
            <w:pPr>
              <w:spacing w:after="0"/>
              <w:rPr>
                <w:sz w:val="20"/>
                <w:szCs w:val="20"/>
                <w:color w:val="auto"/>
              </w:rPr>
            </w:pPr>
            <w:r>
              <w:rPr>
                <w:rFonts w:ascii="Arial" w:cs="Arial" w:eastAsia="Arial" w:hAnsi="Arial"/>
                <w:sz w:val="18"/>
                <w:szCs w:val="18"/>
                <w:color w:val="auto"/>
                <w:w w:val="92"/>
              </w:rPr>
              <w:t>Forty Seven Materials, Forty Seven shall be responsible for payment in accordance with this Clause 2.8, Clause 8.5 and Clause</w:t>
            </w:r>
          </w:p>
        </w:tc>
      </w:tr>
    </w:tbl>
    <w:p>
      <w:pPr>
        <w:ind w:left="1940" w:right="80"/>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2">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14.3.2(b) for all consumables and Raw Materials ordered or irrevocably committed to be procured by Lonza in accordance with this Agreement. Upon cancellation of any Batch by Forty Seven, or termination of this Agreement all such unused Raw Materials shall be paid for by Forty Seven, at the cost incurred by Lonza plus the Raw Materials Fee, within [*] days of invoice and at Forty Seven’s option, either (a) delivered to Forty Seven or (b) disposed of by Lonza; provided that upon any such cancellation or termination, Lonza shall use commercially reasonable efforts to cancel or mitigate any obligation to purchase Raw Materials.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117" w:lineRule="exact"/>
        <w:rPr>
          <w:sz w:val="20"/>
          <w:szCs w:val="20"/>
          <w:color w:val="auto"/>
        </w:rPr>
      </w:pPr>
    </w:p>
    <w:p>
      <w:pPr>
        <w:ind w:right="720" w:firstLine="8"/>
        <w:spacing w:after="0" w:line="277" w:lineRule="auto"/>
        <w:tabs>
          <w:tab w:leader="none" w:pos="255" w:val="left"/>
        </w:tabs>
        <w:numPr>
          <w:ilvl w:val="0"/>
          <w:numId w:val="5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881" w:right="259" w:bottom="1440" w:gutter="0" w:footer="0" w:header="0"/>
        </w:sectPr>
      </w:pPr>
    </w:p>
    <w:bookmarkStart w:id="445" w:name="page446"/>
    <w:bookmarkEnd w:id="445"/>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CONFIDENTIAL</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60" w:type="dxa"/>
            <w:vAlign w:val="bottom"/>
          </w:tcPr>
          <w:p>
            <w:pPr>
              <w:spacing w:after="0"/>
              <w:rPr>
                <w:sz w:val="20"/>
                <w:szCs w:val="20"/>
                <w:color w:val="auto"/>
              </w:rPr>
            </w:pPr>
          </w:p>
        </w:tc>
      </w:tr>
      <w:tr>
        <w:trPr>
          <w:trHeight w:val="324"/>
        </w:trPr>
        <w:tc>
          <w:tcPr>
            <w:tcW w:w="1940" w:type="dxa"/>
            <w:vAlign w:val="bottom"/>
          </w:tcPr>
          <w:p>
            <w:pPr>
              <w:ind w:left="920"/>
              <w:spacing w:after="0"/>
              <w:rPr>
                <w:sz w:val="20"/>
                <w:szCs w:val="20"/>
                <w:color w:val="auto"/>
              </w:rPr>
            </w:pPr>
            <w:r>
              <w:rPr>
                <w:rFonts w:ascii="Arial" w:cs="Arial" w:eastAsia="Arial" w:hAnsi="Arial"/>
                <w:sz w:val="18"/>
                <w:szCs w:val="18"/>
                <w:color w:val="auto"/>
              </w:rPr>
              <w:t>2.9</w:t>
            </w:r>
          </w:p>
        </w:tc>
        <w:tc>
          <w:tcPr>
            <w:tcW w:w="9280" w:type="dxa"/>
            <w:vAlign w:val="bottom"/>
            <w:gridSpan w:val="3"/>
          </w:tcPr>
          <w:p>
            <w:pPr>
              <w:spacing w:after="0"/>
              <w:rPr>
                <w:sz w:val="20"/>
                <w:szCs w:val="20"/>
                <w:color w:val="auto"/>
              </w:rPr>
            </w:pPr>
            <w:r>
              <w:rPr>
                <w:rFonts w:ascii="Arial" w:cs="Arial" w:eastAsia="Arial" w:hAnsi="Arial"/>
                <w:sz w:val="18"/>
                <w:szCs w:val="18"/>
                <w:color w:val="auto"/>
                <w:w w:val="91"/>
              </w:rPr>
              <w:t>Safety Stock. Lonza will, unless Forty Seven instructs Lonza otherwise, and subject to Forty Seven paying the appropriate Raw</w:t>
            </w:r>
          </w:p>
        </w:tc>
      </w:tr>
      <w:tr>
        <w:trPr>
          <w:trHeight w:val="20"/>
        </w:trPr>
        <w:tc>
          <w:tcPr>
            <w:tcW w:w="1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w w:val="91"/>
              </w:rPr>
              <w:t>Materials Fee, maintain a sufficient safety stock of Raw Materials (including a safety stock of Resin) in accordance with Lonza’s</w:t>
            </w:r>
          </w:p>
        </w:tc>
      </w:tr>
      <w:tr>
        <w:trPr>
          <w:trHeight w:val="230"/>
        </w:trPr>
        <w:tc>
          <w:tcPr>
            <w:tcW w:w="1940" w:type="dxa"/>
            <w:vAlign w:val="bottom"/>
          </w:tcPr>
          <w:p>
            <w:pPr>
              <w:spacing w:after="0"/>
              <w:rPr>
                <w:sz w:val="20"/>
                <w:szCs w:val="20"/>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standard policies or as otherwise agreed in writing by the Parties.</w:t>
            </w:r>
          </w:p>
        </w:tc>
      </w:tr>
      <w:tr>
        <w:trPr>
          <w:trHeight w:val="297"/>
        </w:trPr>
        <w:tc>
          <w:tcPr>
            <w:tcW w:w="1940" w:type="dxa"/>
            <w:vAlign w:val="bottom"/>
          </w:tcPr>
          <w:p>
            <w:pPr>
              <w:ind w:left="920"/>
              <w:spacing w:after="0"/>
              <w:rPr>
                <w:sz w:val="20"/>
                <w:szCs w:val="20"/>
                <w:color w:val="auto"/>
              </w:rPr>
            </w:pPr>
            <w:r>
              <w:rPr>
                <w:rFonts w:ascii="Arial" w:cs="Arial" w:eastAsia="Arial" w:hAnsi="Arial"/>
                <w:sz w:val="18"/>
                <w:szCs w:val="18"/>
                <w:color w:val="auto"/>
              </w:rPr>
              <w:t>2.10</w:t>
            </w:r>
          </w:p>
        </w:tc>
        <w:tc>
          <w:tcPr>
            <w:tcW w:w="9280" w:type="dxa"/>
            <w:vAlign w:val="bottom"/>
            <w:gridSpan w:val="3"/>
          </w:tcPr>
          <w:p>
            <w:pPr>
              <w:spacing w:after="0"/>
              <w:rPr>
                <w:sz w:val="20"/>
                <w:szCs w:val="20"/>
                <w:color w:val="auto"/>
              </w:rPr>
            </w:pPr>
            <w:r>
              <w:rPr>
                <w:rFonts w:ascii="Arial" w:cs="Arial" w:eastAsia="Arial" w:hAnsi="Arial"/>
                <w:sz w:val="18"/>
                <w:szCs w:val="18"/>
                <w:color w:val="auto"/>
                <w:w w:val="91"/>
              </w:rPr>
              <w:t>Records. Lonza will maintain in accordance with the Quality Agreement records and samples relating to the manufacture of the</w:t>
            </w:r>
          </w:p>
        </w:tc>
      </w:tr>
      <w:tr>
        <w:trPr>
          <w:trHeight w:val="20"/>
        </w:trPr>
        <w:tc>
          <w:tcPr>
            <w:tcW w:w="1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700" w:type="dxa"/>
            <w:vAlign w:val="bottom"/>
            <w:gridSpan w:val="2"/>
          </w:tcPr>
          <w:p>
            <w:pPr>
              <w:spacing w:after="0" w:line="20" w:lineRule="exact"/>
              <w:rPr>
                <w:sz w:val="1"/>
                <w:szCs w:val="1"/>
                <w:color w:val="auto"/>
              </w:rPr>
            </w:pPr>
          </w:p>
        </w:tc>
      </w:tr>
      <w:tr>
        <w:trPr>
          <w:trHeight w:val="237"/>
        </w:trPr>
        <w:tc>
          <w:tcPr>
            <w:tcW w:w="1940" w:type="dxa"/>
            <w:vAlign w:val="bottom"/>
          </w:tcPr>
          <w:p>
            <w:pPr>
              <w:spacing w:after="0"/>
              <w:rPr>
                <w:sz w:val="20"/>
                <w:szCs w:val="20"/>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Product.</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4">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r>
    </w:p>
    <w:p>
      <w:pPr>
        <w:ind w:left="920" w:hanging="912"/>
        <w:spacing w:after="0"/>
        <w:tabs>
          <w:tab w:leader="none" w:pos="920"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t>Project Management / Steering Committee</w:t>
      </w:r>
    </w:p>
    <w:p>
      <w:pPr>
        <w:spacing w:after="0" w:line="11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3.1</w:t>
            </w:r>
          </w:p>
        </w:tc>
        <w:tc>
          <w:tcPr>
            <w:tcW w:w="9460" w:type="dxa"/>
            <w:vAlign w:val="bottom"/>
            <w:gridSpan w:val="3"/>
          </w:tcPr>
          <w:p>
            <w:pPr>
              <w:spacing w:after="0"/>
              <w:rPr>
                <w:sz w:val="20"/>
                <w:szCs w:val="20"/>
                <w:color w:val="auto"/>
              </w:rPr>
            </w:pPr>
            <w:r>
              <w:rPr>
                <w:rFonts w:ascii="Arial" w:cs="Arial" w:eastAsia="Arial" w:hAnsi="Arial"/>
                <w:sz w:val="18"/>
                <w:szCs w:val="18"/>
                <w:color w:val="auto"/>
                <w:w w:val="89"/>
              </w:rPr>
              <w:t>Project Plans. With respect to a new project to be governed by this Agreement, a new Project Plan shall be added by agreement in a</w:t>
            </w:r>
          </w:p>
        </w:tc>
      </w:tr>
      <w:tr>
        <w:trPr>
          <w:trHeight w:val="20"/>
        </w:trPr>
        <w:tc>
          <w:tcPr>
            <w:tcW w:w="10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4"/>
              </w:rPr>
              <w:t>writing signed by the Parties and appended to Appendix A. Each Project Plan shall include a description of the Services to be</w:t>
            </w:r>
          </w:p>
        </w:tc>
      </w:tr>
      <w:tr>
        <w:trPr>
          <w:trHeight w:val="216"/>
        </w:trPr>
        <w:tc>
          <w:tcPr>
            <w:tcW w:w="102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2"/>
              </w:rPr>
              <w:t>provided, the Product to be manufactured, Specifications, a schedule for completion of the Project Plan, pricing details, and such</w:t>
            </w:r>
          </w:p>
        </w:tc>
      </w:tr>
      <w:tr>
        <w:trPr>
          <w:trHeight w:val="216"/>
        </w:trPr>
        <w:tc>
          <w:tcPr>
            <w:tcW w:w="102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5"/>
              </w:rPr>
              <w:t>other information as is necessary for relevant Services. In the event of a conflict between the terms of a Project Plan and this</w:t>
            </w:r>
          </w:p>
        </w:tc>
      </w:tr>
      <w:tr>
        <w:trPr>
          <w:trHeight w:val="216"/>
        </w:trPr>
        <w:tc>
          <w:tcPr>
            <w:tcW w:w="102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2"/>
              </w:rPr>
              <w:t>Agreement, the terms of this Agreement will govern unless the Parties expressly agree otherwise in writing. Any modifications or</w:t>
            </w:r>
          </w:p>
        </w:tc>
      </w:tr>
      <w:tr>
        <w:trPr>
          <w:trHeight w:val="230"/>
        </w:trPr>
        <w:tc>
          <w:tcPr>
            <w:tcW w:w="1020" w:type="dxa"/>
            <w:vAlign w:val="bottom"/>
          </w:tcPr>
          <w:p>
            <w:pPr>
              <w:spacing w:after="0"/>
              <w:rPr>
                <w:sz w:val="20"/>
                <w:szCs w:val="20"/>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amendments to the Project Plans shall be expressly agreed in writing and signed by the Parties.</w:t>
            </w:r>
          </w:p>
        </w:tc>
      </w:tr>
      <w:tr>
        <w:trPr>
          <w:trHeight w:val="29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3.2</w:t>
            </w:r>
          </w:p>
        </w:tc>
        <w:tc>
          <w:tcPr>
            <w:tcW w:w="9460" w:type="dxa"/>
            <w:vAlign w:val="bottom"/>
            <w:gridSpan w:val="3"/>
          </w:tcPr>
          <w:p>
            <w:pPr>
              <w:spacing w:after="0"/>
              <w:rPr>
                <w:sz w:val="20"/>
                <w:szCs w:val="20"/>
                <w:color w:val="auto"/>
              </w:rPr>
            </w:pPr>
            <w:r>
              <w:rPr>
                <w:rFonts w:ascii="Arial" w:cs="Arial" w:eastAsia="Arial" w:hAnsi="Arial"/>
                <w:sz w:val="18"/>
                <w:szCs w:val="18"/>
                <w:color w:val="auto"/>
                <w:w w:val="99"/>
              </w:rPr>
              <w:t>Project Management. With respect to each Project Plan, each party will appoint a project manager who will be the party</w:t>
            </w:r>
          </w:p>
        </w:tc>
      </w:tr>
      <w:tr>
        <w:trPr>
          <w:trHeight w:val="20"/>
        </w:trPr>
        <w:tc>
          <w:tcPr>
            <w:tcW w:w="102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8020" w:type="dxa"/>
            <w:vAlign w:val="bottom"/>
            <w:tcBorders>
              <w:left w:val="single" w:sz="8" w:color="auto"/>
            </w:tcBorders>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responsible for overseeing the Project Plan.</w:t>
            </w:r>
          </w:p>
        </w:tc>
      </w:tr>
      <w:tr>
        <w:trPr>
          <w:trHeight w:val="29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3.3</w:t>
            </w:r>
          </w:p>
        </w:tc>
        <w:tc>
          <w:tcPr>
            <w:tcW w:w="9460" w:type="dxa"/>
            <w:vAlign w:val="bottom"/>
            <w:gridSpan w:val="3"/>
          </w:tcPr>
          <w:p>
            <w:pPr>
              <w:spacing w:after="0"/>
              <w:rPr>
                <w:sz w:val="20"/>
                <w:szCs w:val="20"/>
                <w:color w:val="auto"/>
              </w:rPr>
            </w:pPr>
            <w:r>
              <w:rPr>
                <w:rFonts w:ascii="Arial" w:cs="Arial" w:eastAsia="Arial" w:hAnsi="Arial"/>
                <w:sz w:val="18"/>
                <w:szCs w:val="18"/>
                <w:color w:val="auto"/>
                <w:w w:val="91"/>
              </w:rPr>
              <w:t>Steering Committee. Each Party shall name a mutually agreed upon equal number of representatives for the Steering Committee,</w:t>
            </w:r>
          </w:p>
        </w:tc>
      </w:tr>
      <w:tr>
        <w:trPr>
          <w:trHeight w:val="20"/>
        </w:trPr>
        <w:tc>
          <w:tcPr>
            <w:tcW w:w="102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2"/>
              </w:rPr>
              <w:t>which shall meet twice per calendar year, or as otherwise mutually agreed by the Parties. In the event that a Steering Committee</w:t>
            </w:r>
          </w:p>
        </w:tc>
      </w:tr>
      <w:tr>
        <w:trPr>
          <w:trHeight w:val="230"/>
        </w:trPr>
        <w:tc>
          <w:tcPr>
            <w:tcW w:w="1020" w:type="dxa"/>
            <w:vAlign w:val="bottom"/>
          </w:tcPr>
          <w:p>
            <w:pPr>
              <w:spacing w:after="0"/>
              <w:rPr>
                <w:sz w:val="20"/>
                <w:szCs w:val="20"/>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dispute cannot be resolved, such dispute shall be escalated to a senior executive of each of Forty Seven and Lonza.</w:t>
            </w:r>
          </w:p>
        </w:tc>
      </w:tr>
    </w:tbl>
    <w:p>
      <w:pPr>
        <w:spacing w:after="0" w:line="94"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The primary function of the Steering Committee is to ensure the ongoing communication between the Parties and discuss and resolve any issues arising under this Agreement. In addition to the primary function described above, the Steering Committee shall also take on the following responsibilities:</w:t>
      </w:r>
    </w:p>
    <w:p>
      <w:pPr>
        <w:spacing w:after="0" w:line="87"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3.3.1</w:t>
            </w: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rPr>
              <w:t>discuss and seek resolution of issues around management of the Services;</w:t>
            </w:r>
          </w:p>
        </w:tc>
      </w:tr>
      <w:tr>
        <w:trPr>
          <w:trHeight w:val="338"/>
        </w:trPr>
        <w:tc>
          <w:tcPr>
            <w:tcW w:w="10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3.3.2</w:t>
            </w: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rPr>
              <w:t>agree and monitor deadlines and milestones for the Services;</w:t>
            </w:r>
          </w:p>
        </w:tc>
      </w:tr>
      <w:tr>
        <w:trPr>
          <w:trHeight w:val="338"/>
        </w:trPr>
        <w:tc>
          <w:tcPr>
            <w:tcW w:w="10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3.3.3</w:t>
            </w: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rPr>
              <w:t>discuss and seek resolution for any Batch failures and unreleased Batches; and</w:t>
            </w:r>
          </w:p>
        </w:tc>
      </w:tr>
      <w:tr>
        <w:trPr>
          <w:trHeight w:val="323"/>
        </w:trPr>
        <w:tc>
          <w:tcPr>
            <w:tcW w:w="10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3.3.4</w:t>
            </w: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0"/>
              </w:rPr>
              <w:t>discuss and recommend any changes to the Services (although such changes will not take effect until they have been</w:t>
            </w:r>
          </w:p>
        </w:tc>
      </w:tr>
      <w:tr>
        <w:trPr>
          <w:trHeight w:val="230"/>
        </w:trPr>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rPr>
              <w:t>incorporated into a written amendment to the Project Plan which has been signed by the Parties).</w:t>
            </w:r>
          </w:p>
        </w:tc>
      </w:tr>
      <w:tr>
        <w:trPr>
          <w:trHeight w:val="29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3.4</w:t>
            </w:r>
          </w:p>
        </w:tc>
        <w:tc>
          <w:tcPr>
            <w:tcW w:w="9480" w:type="dxa"/>
            <w:vAlign w:val="bottom"/>
            <w:gridSpan w:val="3"/>
          </w:tcPr>
          <w:p>
            <w:pPr>
              <w:spacing w:after="0"/>
              <w:rPr>
                <w:sz w:val="20"/>
                <w:szCs w:val="20"/>
                <w:color w:val="auto"/>
              </w:rPr>
            </w:pPr>
            <w:r>
              <w:rPr>
                <w:rFonts w:ascii="Arial" w:cs="Arial" w:eastAsia="Arial" w:hAnsi="Arial"/>
                <w:sz w:val="18"/>
                <w:szCs w:val="18"/>
                <w:color w:val="auto"/>
                <w:w w:val="92"/>
              </w:rPr>
              <w:t>Person in Plant. Forty Seven shall be permitted to have, at no additional cost, [*] at the Facility as reasonably requested by Forty</w:t>
            </w:r>
          </w:p>
        </w:tc>
      </w:tr>
      <w:tr>
        <w:trPr>
          <w:trHeight w:val="20"/>
        </w:trPr>
        <w:tc>
          <w:tcPr>
            <w:tcW w:w="10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w w:val="98"/>
              </w:rPr>
              <w:t>Seven, at any time during the Manufacturing Process for the purpose of observing, reporting on, and consulting as to the</w:t>
            </w:r>
          </w:p>
        </w:tc>
      </w:tr>
      <w:tr>
        <w:trPr>
          <w:trHeight w:val="216"/>
        </w:trPr>
        <w:tc>
          <w:tcPr>
            <w:tcW w:w="102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w w:val="92"/>
              </w:rPr>
              <w:t>performance of the Services. Such employee shall be subject to and agree to abide by confidentiality obligations to Third Parties</w:t>
            </w:r>
          </w:p>
        </w:tc>
      </w:tr>
      <w:tr>
        <w:trPr>
          <w:trHeight w:val="216"/>
        </w:trPr>
        <w:tc>
          <w:tcPr>
            <w:tcW w:w="102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w w:val="89"/>
              </w:rPr>
              <w:t>and Lonza’s customary practices and operating procedures regarding persons in plant, and such employee agrees to comply with all</w:t>
            </w:r>
          </w:p>
        </w:tc>
      </w:tr>
      <w:tr>
        <w:trPr>
          <w:trHeight w:val="230"/>
        </w:trPr>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instructions of Lonza’s employees at the Facility.</w:t>
            </w:r>
          </w:p>
        </w:tc>
      </w:tr>
      <w:tr>
        <w:trPr>
          <w:trHeight w:val="365"/>
        </w:trPr>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780" w:type="dxa"/>
            <w:vAlign w:val="bottom"/>
            <w:gridSpan w:val="2"/>
          </w:tcPr>
          <w:p>
            <w:pPr>
              <w:ind w:left="2980"/>
              <w:spacing w:after="0"/>
              <w:rPr>
                <w:sz w:val="20"/>
                <w:szCs w:val="20"/>
                <w:color w:val="auto"/>
              </w:rPr>
            </w:pPr>
            <w:r>
              <w:rPr>
                <w:rFonts w:ascii="Arial" w:cs="Arial" w:eastAsia="Arial" w:hAnsi="Arial"/>
                <w:sz w:val="18"/>
                <w:szCs w:val="18"/>
                <w:color w:val="auto"/>
              </w:rPr>
              <w:t>11</w:t>
            </w:r>
          </w:p>
        </w:tc>
      </w:tr>
    </w:tbl>
    <w:p>
      <w:pPr>
        <w:spacing w:after="0" w:line="94" w:lineRule="exact"/>
        <w:rPr>
          <w:sz w:val="20"/>
          <w:szCs w:val="20"/>
          <w:color w:val="auto"/>
        </w:rPr>
      </w:pPr>
    </w:p>
    <w:p>
      <w:pPr>
        <w:ind w:right="740" w:firstLine="8"/>
        <w:spacing w:after="0" w:line="277" w:lineRule="auto"/>
        <w:tabs>
          <w:tab w:leader="none" w:pos="25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881" w:right="239" w:bottom="1440" w:gutter="0" w:footer="0" w:header="0"/>
        </w:sectPr>
      </w:pPr>
    </w:p>
    <w:bookmarkStart w:id="446" w:name="page447"/>
    <w:bookmarkEnd w:id="4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6">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4" w:lineRule="exact"/>
        <w:rPr>
          <w:sz w:val="20"/>
          <w:szCs w:val="20"/>
          <w:color w:val="auto"/>
        </w:rPr>
      </w:pPr>
    </w:p>
    <w:p>
      <w:pPr>
        <w:ind w:left="920" w:hanging="912"/>
        <w:spacing w:after="0"/>
        <w:tabs>
          <w:tab w:leader="none" w:pos="92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Quality</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20" w:type="dxa"/>
            <w:vAlign w:val="bottom"/>
          </w:tcPr>
          <w:p>
            <w:pPr>
              <w:jc w:val="right"/>
              <w:ind w:right="310"/>
              <w:spacing w:after="0"/>
              <w:rPr>
                <w:sz w:val="20"/>
                <w:szCs w:val="20"/>
                <w:color w:val="auto"/>
              </w:rPr>
            </w:pPr>
            <w:r>
              <w:rPr>
                <w:rFonts w:ascii="Arial" w:cs="Arial" w:eastAsia="Arial" w:hAnsi="Arial"/>
                <w:sz w:val="18"/>
                <w:szCs w:val="18"/>
                <w:color w:val="auto"/>
                <w:w w:val="79"/>
              </w:rPr>
              <w:t>4.1</w:t>
            </w:r>
          </w:p>
        </w:tc>
        <w:tc>
          <w:tcPr>
            <w:tcW w:w="9860" w:type="dxa"/>
            <w:vAlign w:val="bottom"/>
          </w:tcPr>
          <w:p>
            <w:pPr>
              <w:ind w:left="400"/>
              <w:spacing w:after="0"/>
              <w:rPr>
                <w:sz w:val="20"/>
                <w:szCs w:val="20"/>
                <w:color w:val="auto"/>
              </w:rPr>
            </w:pPr>
            <w:r>
              <w:rPr>
                <w:rFonts w:ascii="Arial" w:cs="Arial" w:eastAsia="Arial" w:hAnsi="Arial"/>
                <w:sz w:val="18"/>
                <w:szCs w:val="18"/>
                <w:color w:val="auto"/>
                <w:w w:val="90"/>
              </w:rPr>
              <w:t>Responsibility for quality assurance and quality control of Product shall be allocated between Forty Seven and Lonza as set forth in</w:t>
            </w:r>
          </w:p>
        </w:tc>
      </w:tr>
      <w:tr>
        <w:trPr>
          <w:trHeight w:val="216"/>
        </w:trPr>
        <w:tc>
          <w:tcPr>
            <w:tcW w:w="620" w:type="dxa"/>
            <w:vAlign w:val="bottom"/>
          </w:tcPr>
          <w:p>
            <w:pPr>
              <w:spacing w:after="0"/>
              <w:rPr>
                <w:sz w:val="18"/>
                <w:szCs w:val="18"/>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w w:val="92"/>
              </w:rPr>
              <w:t>the Quality Agreement and in Lonza standard operating procedures. If there is a conflict between the terms and conditions of this</w:t>
            </w:r>
          </w:p>
        </w:tc>
      </w:tr>
      <w:tr>
        <w:trPr>
          <w:trHeight w:val="216"/>
        </w:trPr>
        <w:tc>
          <w:tcPr>
            <w:tcW w:w="620" w:type="dxa"/>
            <w:vAlign w:val="bottom"/>
          </w:tcPr>
          <w:p>
            <w:pPr>
              <w:spacing w:after="0"/>
              <w:rPr>
                <w:sz w:val="18"/>
                <w:szCs w:val="18"/>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w w:val="92"/>
              </w:rPr>
              <w:t>Agreement and the Quality Agreement, the terms and conditions of this Agreement shall prevails. If the Quality Agreement is not</w:t>
            </w:r>
          </w:p>
        </w:tc>
      </w:tr>
      <w:tr>
        <w:trPr>
          <w:trHeight w:val="216"/>
        </w:trPr>
        <w:tc>
          <w:tcPr>
            <w:tcW w:w="620" w:type="dxa"/>
            <w:vAlign w:val="bottom"/>
          </w:tcPr>
          <w:p>
            <w:pPr>
              <w:spacing w:after="0"/>
              <w:rPr>
                <w:sz w:val="18"/>
                <w:szCs w:val="18"/>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w w:val="94"/>
              </w:rPr>
              <w:t>in place at the Effective Date, Lonza and Forty Seven commit to enter into the Quality Agreement in a timely manner, but in no</w:t>
            </w:r>
          </w:p>
        </w:tc>
      </w:tr>
      <w:tr>
        <w:trPr>
          <w:trHeight w:val="230"/>
        </w:trPr>
        <w:tc>
          <w:tcPr>
            <w:tcW w:w="620" w:type="dxa"/>
            <w:vAlign w:val="bottom"/>
          </w:tcPr>
          <w:p>
            <w:pPr>
              <w:spacing w:after="0"/>
              <w:rPr>
                <w:sz w:val="20"/>
                <w:szCs w:val="20"/>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rPr>
              <w:t>event later than the commencement of cGMP manufacturing under this Agreement.</w:t>
            </w:r>
          </w:p>
        </w:tc>
      </w:tr>
      <w:tr>
        <w:trPr>
          <w:trHeight w:val="338"/>
        </w:trPr>
        <w:tc>
          <w:tcPr>
            <w:tcW w:w="620" w:type="dxa"/>
            <w:vAlign w:val="bottom"/>
          </w:tcPr>
          <w:p>
            <w:pPr>
              <w:jc w:val="right"/>
              <w:ind w:right="310"/>
              <w:spacing w:after="0"/>
              <w:rPr>
                <w:sz w:val="20"/>
                <w:szCs w:val="20"/>
                <w:color w:val="auto"/>
              </w:rPr>
            </w:pPr>
            <w:r>
              <w:rPr>
                <w:rFonts w:ascii="Arial" w:cs="Arial" w:eastAsia="Arial" w:hAnsi="Arial"/>
                <w:sz w:val="18"/>
                <w:szCs w:val="18"/>
                <w:color w:val="auto"/>
                <w:w w:val="79"/>
              </w:rPr>
              <w:t>4.2</w:t>
            </w:r>
          </w:p>
        </w:tc>
        <w:tc>
          <w:tcPr>
            <w:tcW w:w="9860" w:type="dxa"/>
            <w:vAlign w:val="bottom"/>
          </w:tcPr>
          <w:p>
            <w:pPr>
              <w:ind w:left="400"/>
              <w:spacing w:after="0"/>
              <w:rPr>
                <w:sz w:val="20"/>
                <w:szCs w:val="20"/>
                <w:color w:val="auto"/>
              </w:rPr>
            </w:pPr>
            <w:r>
              <w:rPr>
                <w:rFonts w:ascii="Arial" w:cs="Arial" w:eastAsia="Arial" w:hAnsi="Arial"/>
                <w:sz w:val="18"/>
                <w:szCs w:val="18"/>
                <w:color w:val="auto"/>
              </w:rPr>
              <w:t>Provisions regarding inspections by Regulatory Authorities and audits shall be set out in the Quality Agreement.</w:t>
            </w:r>
          </w:p>
        </w:tc>
      </w:tr>
    </w:tbl>
    <w:p>
      <w:pPr>
        <w:spacing w:after="0" w:line="346" w:lineRule="exact"/>
        <w:rPr>
          <w:sz w:val="20"/>
          <w:szCs w:val="20"/>
          <w:color w:val="auto"/>
        </w:rPr>
      </w:pPr>
    </w:p>
    <w:p>
      <w:pPr>
        <w:ind w:left="920" w:hanging="912"/>
        <w:spacing w:after="0"/>
        <w:tabs>
          <w:tab w:leader="none" w:pos="920"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20" w:type="dxa"/>
            <w:vAlign w:val="bottom"/>
          </w:tcPr>
          <w:p>
            <w:pPr>
              <w:jc w:val="right"/>
              <w:ind w:right="310"/>
              <w:spacing w:after="0"/>
              <w:rPr>
                <w:sz w:val="20"/>
                <w:szCs w:val="20"/>
                <w:color w:val="auto"/>
              </w:rPr>
            </w:pPr>
            <w:r>
              <w:rPr>
                <w:rFonts w:ascii="Arial" w:cs="Arial" w:eastAsia="Arial" w:hAnsi="Arial"/>
                <w:sz w:val="18"/>
                <w:szCs w:val="18"/>
                <w:color w:val="auto"/>
                <w:w w:val="79"/>
              </w:rPr>
              <w:t>5.1</w:t>
            </w:r>
          </w:p>
        </w:tc>
        <w:tc>
          <w:tcPr>
            <w:tcW w:w="9840" w:type="dxa"/>
            <w:vAlign w:val="bottom"/>
          </w:tcPr>
          <w:p>
            <w:pPr>
              <w:ind w:left="400"/>
              <w:spacing w:after="0"/>
              <w:rPr>
                <w:sz w:val="20"/>
                <w:szCs w:val="20"/>
                <w:color w:val="auto"/>
              </w:rPr>
            </w:pPr>
            <w:r>
              <w:rPr>
                <w:rFonts w:ascii="Arial" w:cs="Arial" w:eastAsia="Arial" w:hAnsi="Arial"/>
                <w:sz w:val="18"/>
                <w:szCs w:val="18"/>
                <w:color w:val="auto"/>
                <w:w w:val="91"/>
              </w:rPr>
              <w:t>Each Party shall, during the Term and for [*] years after delivery of the last Product manufactured or Services provided under this</w:t>
            </w:r>
          </w:p>
        </w:tc>
      </w:tr>
      <w:tr>
        <w:trPr>
          <w:trHeight w:val="216"/>
        </w:trPr>
        <w:tc>
          <w:tcPr>
            <w:tcW w:w="620" w:type="dxa"/>
            <w:vAlign w:val="bottom"/>
          </w:tcPr>
          <w:p>
            <w:pPr>
              <w:spacing w:after="0"/>
              <w:rPr>
                <w:sz w:val="18"/>
                <w:szCs w:val="18"/>
                <w:color w:val="auto"/>
              </w:rPr>
            </w:pPr>
          </w:p>
        </w:tc>
        <w:tc>
          <w:tcPr>
            <w:tcW w:w="9840" w:type="dxa"/>
            <w:vAlign w:val="bottom"/>
          </w:tcPr>
          <w:p>
            <w:pPr>
              <w:ind w:left="400"/>
              <w:spacing w:after="0"/>
              <w:rPr>
                <w:sz w:val="20"/>
                <w:szCs w:val="20"/>
                <w:color w:val="auto"/>
              </w:rPr>
            </w:pPr>
            <w:r>
              <w:rPr>
                <w:rFonts w:ascii="Arial" w:cs="Arial" w:eastAsia="Arial" w:hAnsi="Arial"/>
                <w:sz w:val="18"/>
                <w:szCs w:val="18"/>
                <w:color w:val="auto"/>
                <w:w w:val="91"/>
              </w:rPr>
              <w:t>Agreement, obtain and maintain at its own cost and expense from a qualified insurance company, comprehensive general liability</w:t>
            </w:r>
          </w:p>
        </w:tc>
      </w:tr>
      <w:tr>
        <w:trPr>
          <w:trHeight w:val="216"/>
        </w:trPr>
        <w:tc>
          <w:tcPr>
            <w:tcW w:w="620" w:type="dxa"/>
            <w:vAlign w:val="bottom"/>
          </w:tcPr>
          <w:p>
            <w:pPr>
              <w:spacing w:after="0"/>
              <w:rPr>
                <w:sz w:val="18"/>
                <w:szCs w:val="18"/>
                <w:color w:val="auto"/>
              </w:rPr>
            </w:pPr>
          </w:p>
        </w:tc>
        <w:tc>
          <w:tcPr>
            <w:tcW w:w="9840" w:type="dxa"/>
            <w:vAlign w:val="bottom"/>
          </w:tcPr>
          <w:p>
            <w:pPr>
              <w:ind w:left="400"/>
              <w:spacing w:after="0"/>
              <w:rPr>
                <w:sz w:val="20"/>
                <w:szCs w:val="20"/>
                <w:color w:val="auto"/>
              </w:rPr>
            </w:pPr>
            <w:r>
              <w:rPr>
                <w:rFonts w:ascii="Arial" w:cs="Arial" w:eastAsia="Arial" w:hAnsi="Arial"/>
                <w:sz w:val="18"/>
                <w:szCs w:val="18"/>
                <w:color w:val="auto"/>
                <w:w w:val="92"/>
              </w:rPr>
              <w:t>insurance including, but not limited to, contractual liability coverage and product liability coverage in the amount of at least [*] per</w:t>
            </w:r>
          </w:p>
        </w:tc>
      </w:tr>
      <w:tr>
        <w:trPr>
          <w:trHeight w:val="230"/>
        </w:trPr>
        <w:tc>
          <w:tcPr>
            <w:tcW w:w="620" w:type="dxa"/>
            <w:vAlign w:val="bottom"/>
          </w:tcPr>
          <w:p>
            <w:pPr>
              <w:spacing w:after="0"/>
              <w:rPr>
                <w:sz w:val="20"/>
                <w:szCs w:val="20"/>
                <w:color w:val="auto"/>
              </w:rPr>
            </w:pPr>
          </w:p>
        </w:tc>
        <w:tc>
          <w:tcPr>
            <w:tcW w:w="9840" w:type="dxa"/>
            <w:vAlign w:val="bottom"/>
          </w:tcPr>
          <w:p>
            <w:pPr>
              <w:ind w:left="400"/>
              <w:spacing w:after="0"/>
              <w:rPr>
                <w:sz w:val="20"/>
                <w:szCs w:val="20"/>
                <w:color w:val="auto"/>
              </w:rPr>
            </w:pPr>
            <w:r>
              <w:rPr>
                <w:rFonts w:ascii="Arial" w:cs="Arial" w:eastAsia="Arial" w:hAnsi="Arial"/>
                <w:sz w:val="18"/>
                <w:szCs w:val="18"/>
                <w:color w:val="auto"/>
                <w:w w:val="99"/>
              </w:rPr>
              <w:t>claim. Each Party shall provide the respective other Party with a certificate of such insurance upon reasonable request.</w:t>
            </w:r>
          </w:p>
        </w:tc>
      </w:tr>
    </w:tbl>
    <w:p>
      <w:pPr>
        <w:spacing w:after="0" w:line="346" w:lineRule="exact"/>
        <w:rPr>
          <w:sz w:val="20"/>
          <w:szCs w:val="20"/>
          <w:color w:val="auto"/>
        </w:rPr>
      </w:pPr>
    </w:p>
    <w:p>
      <w:pPr>
        <w:ind w:left="920" w:hanging="912"/>
        <w:spacing w:after="0"/>
        <w:tabs>
          <w:tab w:leader="none" w:pos="920" w:val="left"/>
        </w:tabs>
        <w:numPr>
          <w:ilvl w:val="0"/>
          <w:numId w:val="534"/>
        </w:numPr>
        <w:rPr>
          <w:rFonts w:ascii="Arial" w:cs="Arial" w:eastAsia="Arial" w:hAnsi="Arial"/>
          <w:sz w:val="18"/>
          <w:szCs w:val="18"/>
          <w:b w:val="1"/>
          <w:bCs w:val="1"/>
          <w:color w:val="auto"/>
        </w:rPr>
      </w:pPr>
      <w:r>
        <w:rPr>
          <w:rFonts w:ascii="Arial" w:cs="Arial" w:eastAsia="Arial" w:hAnsi="Arial"/>
          <w:sz w:val="18"/>
          <w:szCs w:val="18"/>
          <w:b w:val="1"/>
          <w:bCs w:val="1"/>
          <w:color w:val="auto"/>
        </w:rPr>
        <w:t>Assigned Capacity, Alternate Product, Forecasting, Ordering and Cancellation</w:t>
      </w:r>
    </w:p>
    <w:p>
      <w:pPr>
        <w:spacing w:after="0" w:line="11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6.1</w:t>
            </w:r>
          </w:p>
        </w:tc>
        <w:tc>
          <w:tcPr>
            <w:tcW w:w="9380" w:type="dxa"/>
            <w:vAlign w:val="bottom"/>
            <w:gridSpan w:val="4"/>
          </w:tcPr>
          <w:p>
            <w:pPr>
              <w:spacing w:after="0"/>
              <w:rPr>
                <w:sz w:val="20"/>
                <w:szCs w:val="20"/>
                <w:color w:val="auto"/>
              </w:rPr>
            </w:pPr>
            <w:r>
              <w:rPr>
                <w:rFonts w:ascii="Arial" w:cs="Arial" w:eastAsia="Arial" w:hAnsi="Arial"/>
                <w:sz w:val="18"/>
                <w:szCs w:val="18"/>
                <w:color w:val="auto"/>
              </w:rPr>
              <w:t>Assigned Capacity.</w:t>
            </w:r>
          </w:p>
        </w:tc>
      </w:tr>
      <w:tr>
        <w:trPr>
          <w:trHeight w:val="20"/>
        </w:trPr>
        <w:tc>
          <w:tcPr>
            <w:tcW w:w="1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344"/>
        </w:trPr>
        <w:tc>
          <w:tcPr>
            <w:tcW w:w="10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(a)</w:t>
            </w: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3"/>
              </w:rPr>
              <w:t>Lonza shall manufacture [*] Engineering Batch in [*] and such Engineering Batch is non-cancellable. Lonza shall</w:t>
            </w:r>
          </w:p>
        </w:tc>
      </w:tr>
      <w:tr>
        <w:trPr>
          <w:trHeight w:val="216"/>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4"/>
              </w:rPr>
              <w:t>manufacture [*] cGMP Batches per year during the Assigned Capacity. Lonza will use commercially reasonable</w:t>
            </w:r>
          </w:p>
        </w:tc>
      </w:tr>
      <w:tr>
        <w:trPr>
          <w:trHeight w:val="216"/>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3"/>
              </w:rPr>
              <w:t>efforts to accommodate Forty Seven’s Forecast as set out in clause 6.3 below, provided however that, except as</w:t>
            </w:r>
          </w:p>
        </w:tc>
      </w:tr>
      <w:tr>
        <w:trPr>
          <w:trHeight w:val="230"/>
        </w:trPr>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rPr>
              <w:t>expressly set forth in this Agreement (including Section 6.1(b)), [*] and subject to [*], Lonza shall [*].</w:t>
            </w:r>
          </w:p>
        </w:tc>
      </w:tr>
      <w:tr>
        <w:trPr>
          <w:trHeight w:val="323"/>
        </w:trPr>
        <w:tc>
          <w:tcPr>
            <w:tcW w:w="10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(b)</w:t>
            </w: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0"/>
              </w:rPr>
              <w:t>Whether a cGMP Batch is manufactured within the Assigned Capacity shall be measured from the Commencement</w:t>
            </w:r>
          </w:p>
        </w:tc>
      </w:tr>
      <w:tr>
        <w:trPr>
          <w:trHeight w:val="216"/>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4"/>
              </w:rPr>
              <w:t>Date of such cGMP Batch and for the purposes of clarity, such Assigned Capacity shall be from [*] to [*], unless</w:t>
            </w:r>
          </w:p>
        </w:tc>
      </w:tr>
      <w:tr>
        <w:trPr>
          <w:trHeight w:val="216"/>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1"/>
              </w:rPr>
              <w:t>(i) the Term is extended pursuant to Clause 14.1, in which case the Assigned Capacity shall continue through [*] or</w:t>
            </w:r>
          </w:p>
        </w:tc>
      </w:tr>
      <w:tr>
        <w:trPr>
          <w:trHeight w:val="216"/>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6"/>
              </w:rPr>
              <w:t>(ii) Lonza and Forty Seven mutually agree on terms of a commercial agreement that modifies or replaces the</w:t>
            </w:r>
          </w:p>
        </w:tc>
      </w:tr>
      <w:tr>
        <w:trPr>
          <w:trHeight w:val="216"/>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3"/>
              </w:rPr>
              <w:t>Assigned Capacity and/or (iii) Forty Seven provides written notice (“[*] Notice”) to Lonza that Forty Seven wishes</w:t>
            </w:r>
          </w:p>
        </w:tc>
      </w:tr>
      <w:tr>
        <w:trPr>
          <w:trHeight w:val="216"/>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3"/>
              </w:rPr>
              <w:t>to [*] with the intention that [*], provided Forty Seven provides such [*] Notice to Lonza no later than [*], provided</w:t>
            </w:r>
          </w:p>
        </w:tc>
      </w:tr>
      <w:tr>
        <w:trPr>
          <w:trHeight w:val="216"/>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6"/>
              </w:rPr>
              <w:t>further that if Lonza does not receive such [*] Notice on or before [*], the Assigned Capacity [*]. The Assigned</w:t>
            </w:r>
          </w:p>
        </w:tc>
      </w:tr>
      <w:tr>
        <w:trPr>
          <w:trHeight w:val="216"/>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7"/>
              </w:rPr>
              <w:t>Capacity shall be [*] cGMP Batches per year at 2,000 litre scale at Lonza’s Facility. Subject to the foregoing</w:t>
            </w:r>
          </w:p>
        </w:tc>
      </w:tr>
      <w:tr>
        <w:trPr>
          <w:trHeight w:val="216"/>
        </w:trPr>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w w:val="92"/>
              </w:rPr>
              <w:t>provisions, the above cGMP Batches shall be regarded as a binding commitment on the Parties for the Term, and</w:t>
            </w:r>
          </w:p>
        </w:tc>
      </w:tr>
      <w:tr>
        <w:trPr>
          <w:trHeight w:val="230"/>
        </w:trPr>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60" w:type="dxa"/>
            <w:vAlign w:val="bottom"/>
            <w:gridSpan w:val="3"/>
          </w:tcPr>
          <w:p>
            <w:pPr>
              <w:ind w:left="200"/>
              <w:spacing w:after="0"/>
              <w:rPr>
                <w:sz w:val="20"/>
                <w:szCs w:val="20"/>
                <w:color w:val="auto"/>
              </w:rPr>
            </w:pPr>
            <w:r>
              <w:rPr>
                <w:rFonts w:ascii="Arial" w:cs="Arial" w:eastAsia="Arial" w:hAnsi="Arial"/>
                <w:sz w:val="18"/>
                <w:szCs w:val="18"/>
                <w:color w:val="auto"/>
              </w:rPr>
              <w:t>(except as set forth in Clauses [*]) [*].</w:t>
            </w:r>
          </w:p>
        </w:tc>
      </w:tr>
      <w:tr>
        <w:trPr>
          <w:trHeight w:val="29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6.2</w:t>
            </w:r>
          </w:p>
        </w:tc>
        <w:tc>
          <w:tcPr>
            <w:tcW w:w="9380" w:type="dxa"/>
            <w:vAlign w:val="bottom"/>
            <w:gridSpan w:val="4"/>
          </w:tcPr>
          <w:p>
            <w:pPr>
              <w:spacing w:after="0"/>
              <w:rPr>
                <w:sz w:val="20"/>
                <w:szCs w:val="20"/>
                <w:color w:val="auto"/>
              </w:rPr>
            </w:pPr>
            <w:r>
              <w:rPr>
                <w:rFonts w:ascii="Arial" w:cs="Arial" w:eastAsia="Arial" w:hAnsi="Arial"/>
                <w:sz w:val="18"/>
                <w:szCs w:val="18"/>
                <w:color w:val="auto"/>
                <w:w w:val="94"/>
              </w:rPr>
              <w:t>Alternate Product. Forty-Seven may request Lonza to manufacture Alternate Product(s) in place of or in addition to the CD47</w:t>
            </w:r>
          </w:p>
        </w:tc>
      </w:tr>
      <w:tr>
        <w:trPr>
          <w:trHeight w:val="20"/>
        </w:trPr>
        <w:tc>
          <w:tcPr>
            <w:tcW w:w="10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auto"/>
                <w:w w:val="93"/>
              </w:rPr>
              <w:t>Product within the Assigned Capacity provided always that any such Alternate Products does not exceed Lonza’s then current</w:t>
            </w:r>
          </w:p>
        </w:tc>
      </w:tr>
      <w:tr>
        <w:trPr>
          <w:trHeight w:val="230"/>
        </w:trPr>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standard</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20" w:type="dxa"/>
            <w:vAlign w:val="bottom"/>
          </w:tcPr>
          <w:p>
            <w:pPr>
              <w:spacing w:after="0"/>
              <w:rPr>
                <w:sz w:val="20"/>
                <w:szCs w:val="20"/>
                <w:color w:val="auto"/>
              </w:rPr>
            </w:pPr>
          </w:p>
        </w:tc>
      </w:tr>
      <w:tr>
        <w:trPr>
          <w:trHeight w:val="365"/>
        </w:trPr>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560" w:type="dxa"/>
            <w:vAlign w:val="bottom"/>
            <w:gridSpan w:val="3"/>
          </w:tcPr>
          <w:p>
            <w:pPr>
              <w:ind w:left="2860"/>
              <w:spacing w:after="0"/>
              <w:rPr>
                <w:sz w:val="20"/>
                <w:szCs w:val="20"/>
                <w:color w:val="auto"/>
              </w:rPr>
            </w:pPr>
            <w:r>
              <w:rPr>
                <w:rFonts w:ascii="Arial" w:cs="Arial" w:eastAsia="Arial" w:hAnsi="Arial"/>
                <w:sz w:val="18"/>
                <w:szCs w:val="18"/>
                <w:color w:val="auto"/>
              </w:rPr>
              <w:t>12</w:t>
            </w:r>
          </w:p>
        </w:tc>
      </w:tr>
    </w:tbl>
    <w:p>
      <w:pPr>
        <w:spacing w:after="0" w:line="94" w:lineRule="exact"/>
        <w:rPr>
          <w:sz w:val="20"/>
          <w:szCs w:val="20"/>
          <w:color w:val="auto"/>
        </w:rPr>
      </w:pPr>
    </w:p>
    <w:p>
      <w:pPr>
        <w:ind w:right="720" w:firstLine="8"/>
        <w:spacing w:after="0" w:line="277" w:lineRule="auto"/>
        <w:tabs>
          <w:tab w:leader="none" w:pos="255" w:val="left"/>
        </w:tabs>
        <w:numPr>
          <w:ilvl w:val="0"/>
          <w:numId w:val="53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882" w:right="259" w:bottom="1440" w:gutter="0" w:footer="0" w:header="0"/>
        </w:sectPr>
      </w:pPr>
    </w:p>
    <w:bookmarkStart w:id="447" w:name="page448"/>
    <w:bookmarkEnd w:id="447"/>
    <w:tbl>
      <w:tblPr>
        <w:tblLayout w:type="fixed"/>
        <w:tblInd w:w="0" w:type="dxa"/>
        <w:tblCellMar>
          <w:top w:w="0" w:type="dxa"/>
          <w:left w:w="0" w:type="dxa"/>
          <w:bottom w:w="0" w:type="dxa"/>
          <w:right w:w="0" w:type="dxa"/>
        </w:tblCellMar>
      </w:tblPr>
      <w:tr>
        <w:trPr>
          <w:trHeight w:val="230"/>
        </w:trPr>
        <w:tc>
          <w:tcPr>
            <w:tcW w:w="1940" w:type="dxa"/>
            <w:vAlign w:val="bottom"/>
          </w:tcPr>
          <w:p>
            <w:pPr>
              <w:jc w:val="right"/>
              <w:ind w:right="530"/>
              <w:spacing w:after="0"/>
              <w:rPr>
                <w:sz w:val="20"/>
                <w:szCs w:val="20"/>
                <w:color w:val="auto"/>
              </w:rPr>
            </w:pPr>
            <w:r>
              <w:rPr>
                <w:rFonts w:ascii="Arial" w:cs="Arial" w:eastAsia="Arial" w:hAnsi="Arial"/>
                <w:sz w:val="18"/>
                <w:szCs w:val="18"/>
                <w:color w:val="auto"/>
                <w:w w:val="98"/>
              </w:rPr>
              <w:t>CONFIDENTIAL</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350"/>
        </w:trPr>
        <w:tc>
          <w:tcPr>
            <w:tcW w:w="194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89"/>
              </w:rPr>
              <w:t>processing times and subject to Lonza’s agreement, and the negotiation and execution of an amended Project Plan agreed between</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4"/>
              </w:rPr>
              <w:t>the Parties that shall set out the price and terms for the transfer of the Alternate Product into the Facility and for payment of all</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3"/>
              </w:rPr>
              <w:t>such additional costs as reasonably incurred by Lonza in completion of such transfer. If an Alternate Product is introduced, the</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2"/>
              </w:rPr>
              <w:t>number of cGMP Batches to be manufactured within the Assigned Capacity in each year may be revised as agreed in writing by</w:t>
            </w:r>
          </w:p>
        </w:tc>
      </w:tr>
      <w:tr>
        <w:trPr>
          <w:trHeight w:val="230"/>
        </w:trPr>
        <w:tc>
          <w:tcPr>
            <w:tcW w:w="19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the Parties.</w:t>
            </w: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297"/>
        </w:trPr>
        <w:tc>
          <w:tcPr>
            <w:tcW w:w="1940" w:type="dxa"/>
            <w:vAlign w:val="bottom"/>
          </w:tcPr>
          <w:p>
            <w:pPr>
              <w:jc w:val="right"/>
              <w:ind w:right="710"/>
              <w:spacing w:after="0"/>
              <w:rPr>
                <w:sz w:val="20"/>
                <w:szCs w:val="20"/>
                <w:color w:val="auto"/>
              </w:rPr>
            </w:pPr>
            <w:r>
              <w:rPr>
                <w:rFonts w:ascii="Arial" w:cs="Arial" w:eastAsia="Arial" w:hAnsi="Arial"/>
                <w:sz w:val="18"/>
                <w:szCs w:val="18"/>
                <w:color w:val="auto"/>
              </w:rPr>
              <w:t>6.3</w:t>
            </w:r>
          </w:p>
        </w:tc>
        <w:tc>
          <w:tcPr>
            <w:tcW w:w="9440" w:type="dxa"/>
            <w:vAlign w:val="bottom"/>
            <w:gridSpan w:val="4"/>
          </w:tcPr>
          <w:p>
            <w:pPr>
              <w:spacing w:after="0"/>
              <w:rPr>
                <w:sz w:val="20"/>
                <w:szCs w:val="20"/>
                <w:color w:val="auto"/>
              </w:rPr>
            </w:pPr>
            <w:r>
              <w:rPr>
                <w:rFonts w:ascii="Arial" w:cs="Arial" w:eastAsia="Arial" w:hAnsi="Arial"/>
                <w:sz w:val="18"/>
                <w:szCs w:val="18"/>
                <w:color w:val="auto"/>
              </w:rPr>
              <w:t>Forecasting and Ordering.</w:t>
            </w:r>
          </w:p>
        </w:tc>
      </w:tr>
      <w:tr>
        <w:trPr>
          <w:trHeight w:val="20"/>
        </w:trPr>
        <w:tc>
          <w:tcPr>
            <w:tcW w:w="1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344"/>
        </w:trPr>
        <w:tc>
          <w:tcPr>
            <w:tcW w:w="1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(a)</w:t>
            </w: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5"/>
              </w:rPr>
              <w:t>No later than the first (1</w:t>
            </w:r>
            <w:r>
              <w:rPr>
                <w:rFonts w:ascii="Arial" w:cs="Arial" w:eastAsia="Arial" w:hAnsi="Arial"/>
                <w:sz w:val="15"/>
                <w:szCs w:val="15"/>
                <w:color w:val="auto"/>
                <w:w w:val="95"/>
              </w:rPr>
              <w:t>st</w:t>
            </w:r>
            <w:r>
              <w:rPr>
                <w:rFonts w:ascii="Arial" w:cs="Arial" w:eastAsia="Arial" w:hAnsi="Arial"/>
                <w:sz w:val="18"/>
                <w:szCs w:val="18"/>
                <w:color w:val="auto"/>
                <w:w w:val="95"/>
              </w:rPr>
              <w:t>) day of each calendar quarter, Forty Seven shall supply Lonza with a written forecast</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8"/>
              </w:rPr>
              <w:t>showing Forty Seven’s good faith estimated quarterly Commencement Date requirements for Batches to be</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7"/>
              </w:rPr>
              <w:t>manufactured within the Assigned Capacity at Lonza’s Facility and any Additional cGMP Batches (as defined</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5"/>
              </w:rPr>
              <w:t>below) requested by Forty Seven to be manufactured at Lonza’s Facility in the following [*] month period or the</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6"/>
              </w:rPr>
              <w:t>remainder of the Term, whichever is less (the “Forecast”). No later than [*] days following Lonza’s receipt of a</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8"/>
              </w:rPr>
              <w:t>Forecast, Lonza shall provide written notice to Forty Seven of whether it has (as of the date of receipt of the</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6"/>
              </w:rPr>
              <w:t>Forecast) capacity available to manufacture the number of Batches forecasted therein in accordance with the</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89"/>
              </w:rPr>
              <w:t>schedule proposed by Forty Seven and shall provide Forty Seven with an estimated production schedule showing the</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0"/>
              </w:rPr>
              <w:t>estimated Commencement Date and estimated delivery date of each Batch (“Forecast Response”). The forecast and</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8"/>
              </w:rPr>
              <w:t>notice of available capacity given in this Clause 6.3 shall not be binding on Forty Seven or Lonza, except as</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8"/>
              </w:rPr>
              <w:t>otherwise set forth in Clause 6.1. For the avoidance of doubt, no notice from Lonza to Forth Seven provided</w:t>
            </w:r>
          </w:p>
        </w:tc>
      </w:tr>
      <w:tr>
        <w:trPr>
          <w:trHeight w:val="230"/>
        </w:trPr>
        <w:tc>
          <w:tcPr>
            <w:tcW w:w="1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0"/>
              </w:rPr>
              <w:t>pursuant to this Clause 6.3 shall relieve Lonza of its obligations under Clause 6.1, except as permitted by Clause 6.4.</w:t>
            </w:r>
          </w:p>
        </w:tc>
      </w:tr>
      <w:tr>
        <w:trPr>
          <w:trHeight w:val="323"/>
        </w:trPr>
        <w:tc>
          <w:tcPr>
            <w:tcW w:w="19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(b)</w:t>
            </w: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4"/>
              </w:rPr>
              <w:t>Forty Seven may place firm purchase orders for its requirement for Additional cGMP Batches at least [*] months</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1"/>
              </w:rPr>
              <w:t>prior to the desired Commencement Date of each such Batch unless otherwise mutually agreed. Lonza shall accept</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7"/>
              </w:rPr>
              <w:t>or reject Forty Seven’s orders for Additional cGMP Batches within [*] calendar days of Lonza’s receipt of the</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1"/>
              </w:rPr>
              <w:t>purchase order; provided that if Lonza fails to accept or reject a purchase order within such [*] calendar day period,</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5"/>
              </w:rPr>
              <w:t>[*]. Lonza shall use commercially reasonable efforts to accept all purchase orders submitted by Forty Seven in</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w w:val="96"/>
              </w:rPr>
              <w:t>accordance with this Section 6.3(b). Each accepted purchase order is a “Binding Purchase Order.” All Binding</w:t>
            </w:r>
          </w:p>
        </w:tc>
      </w:tr>
      <w:tr>
        <w:trPr>
          <w:trHeight w:val="230"/>
        </w:trPr>
        <w:tc>
          <w:tcPr>
            <w:tcW w:w="1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60" w:type="dxa"/>
            <w:vAlign w:val="bottom"/>
            <w:gridSpan w:val="3"/>
          </w:tcPr>
          <w:p>
            <w:pPr>
              <w:ind w:left="40"/>
              <w:spacing w:after="0"/>
              <w:rPr>
                <w:sz w:val="20"/>
                <w:szCs w:val="20"/>
                <w:color w:val="auto"/>
              </w:rPr>
            </w:pPr>
            <w:r>
              <w:rPr>
                <w:rFonts w:ascii="Arial" w:cs="Arial" w:eastAsia="Arial" w:hAnsi="Arial"/>
                <w:sz w:val="18"/>
                <w:szCs w:val="18"/>
                <w:color w:val="auto"/>
              </w:rPr>
              <w:t>Purchase Orders shall be subject to the cancellation provisions in Clause 6.5.</w:t>
            </w:r>
          </w:p>
        </w:tc>
      </w:tr>
      <w:tr>
        <w:trPr>
          <w:trHeight w:val="297"/>
        </w:trPr>
        <w:tc>
          <w:tcPr>
            <w:tcW w:w="1940" w:type="dxa"/>
            <w:vAlign w:val="bottom"/>
          </w:tcPr>
          <w:p>
            <w:pPr>
              <w:jc w:val="right"/>
              <w:ind w:right="710"/>
              <w:spacing w:after="0"/>
              <w:rPr>
                <w:sz w:val="20"/>
                <w:szCs w:val="20"/>
                <w:color w:val="auto"/>
              </w:rPr>
            </w:pPr>
            <w:r>
              <w:rPr>
                <w:rFonts w:ascii="Arial" w:cs="Arial" w:eastAsia="Arial" w:hAnsi="Arial"/>
                <w:sz w:val="18"/>
                <w:szCs w:val="18"/>
                <w:color w:val="auto"/>
              </w:rPr>
              <w:t>6.4</w:t>
            </w:r>
          </w:p>
        </w:tc>
        <w:tc>
          <w:tcPr>
            <w:tcW w:w="9440" w:type="dxa"/>
            <w:vAlign w:val="bottom"/>
            <w:gridSpan w:val="4"/>
          </w:tcPr>
          <w:p>
            <w:pPr>
              <w:spacing w:after="0"/>
              <w:rPr>
                <w:sz w:val="20"/>
                <w:szCs w:val="20"/>
                <w:color w:val="auto"/>
              </w:rPr>
            </w:pPr>
            <w:r>
              <w:rPr>
                <w:rFonts w:ascii="Arial" w:cs="Arial" w:eastAsia="Arial" w:hAnsi="Arial"/>
                <w:sz w:val="18"/>
                <w:szCs w:val="18"/>
                <w:color w:val="auto"/>
                <w:w w:val="99"/>
              </w:rPr>
              <w:t>Rescheduling. [*] reschedule the Commencement Date with respect to any cGMP Batch, provided that the rescheduled</w:t>
            </w:r>
          </w:p>
        </w:tc>
      </w:tr>
      <w:tr>
        <w:trPr>
          <w:trHeight w:val="20"/>
        </w:trPr>
        <w:tc>
          <w:tcPr>
            <w:tcW w:w="1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1"/>
              </w:rPr>
              <w:t>Commencement Date is no earlier or no later than [*] days from the Commencement Date originally estimated (i) in the portion of</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9"/>
              </w:rPr>
              <w:t>the Forecast Response relating to the then-current first [*] months of the Assigned Capacity or (ii) at the time of Lonza’s</w:t>
            </w:r>
          </w:p>
        </w:tc>
      </w:tr>
      <w:tr>
        <w:trPr>
          <w:trHeight w:val="230"/>
        </w:trPr>
        <w:tc>
          <w:tcPr>
            <w:tcW w:w="1940" w:type="dxa"/>
            <w:vAlign w:val="bottom"/>
          </w:tcPr>
          <w:p>
            <w:pPr>
              <w:spacing w:after="0"/>
              <w:rPr>
                <w:sz w:val="20"/>
                <w:szCs w:val="20"/>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acceptance of the binding purchase order for any Additional cGMP Batches.</w:t>
            </w:r>
          </w:p>
        </w:tc>
      </w:tr>
      <w:tr>
        <w:trPr>
          <w:trHeight w:val="297"/>
        </w:trPr>
        <w:tc>
          <w:tcPr>
            <w:tcW w:w="1940" w:type="dxa"/>
            <w:vAlign w:val="bottom"/>
          </w:tcPr>
          <w:p>
            <w:pPr>
              <w:jc w:val="right"/>
              <w:ind w:right="710"/>
              <w:spacing w:after="0"/>
              <w:rPr>
                <w:sz w:val="20"/>
                <w:szCs w:val="20"/>
                <w:color w:val="auto"/>
              </w:rPr>
            </w:pPr>
            <w:r>
              <w:rPr>
                <w:rFonts w:ascii="Arial" w:cs="Arial" w:eastAsia="Arial" w:hAnsi="Arial"/>
                <w:sz w:val="18"/>
                <w:szCs w:val="18"/>
                <w:color w:val="auto"/>
              </w:rPr>
              <w:t>6.5</w:t>
            </w:r>
          </w:p>
        </w:tc>
        <w:tc>
          <w:tcPr>
            <w:tcW w:w="9440" w:type="dxa"/>
            <w:vAlign w:val="bottom"/>
            <w:gridSpan w:val="4"/>
          </w:tcPr>
          <w:p>
            <w:pPr>
              <w:spacing w:after="0"/>
              <w:rPr>
                <w:sz w:val="20"/>
                <w:szCs w:val="20"/>
                <w:color w:val="auto"/>
              </w:rPr>
            </w:pPr>
            <w:r>
              <w:rPr>
                <w:rFonts w:ascii="Arial" w:cs="Arial" w:eastAsia="Arial" w:hAnsi="Arial"/>
                <w:sz w:val="18"/>
                <w:szCs w:val="18"/>
                <w:color w:val="auto"/>
                <w:w w:val="93"/>
              </w:rPr>
              <w:t>Cancellation of cGMP Batches. If Forty Seven cancels (i) any cGMP Batch within the Assigned Capacity it shall not receive any</w:t>
            </w:r>
          </w:p>
        </w:tc>
      </w:tr>
      <w:tr>
        <w:trPr>
          <w:trHeight w:val="20"/>
        </w:trPr>
        <w:tc>
          <w:tcPr>
            <w:tcW w:w="1940" w:type="dxa"/>
            <w:vAlign w:val="bottom"/>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4"/>
              </w:rPr>
              <w:t>refund or rebate of the Suite Fee (except as set forth in this Clause 6.5 or Clause 6.7), and (ii) any Additional cGMP Batch, as</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1"/>
              </w:rPr>
              <w:t>defined below, for which Lonza accepted a purchase order, (A) Forty Seven shall pay [*] of the Price for such cancelled Additional</w:t>
            </w:r>
          </w:p>
        </w:tc>
      </w:tr>
      <w:tr>
        <w:trPr>
          <w:trHeight w:val="230"/>
        </w:trPr>
        <w:tc>
          <w:tcPr>
            <w:tcW w:w="1940" w:type="dxa"/>
            <w:vAlign w:val="bottom"/>
          </w:tcPr>
          <w:p>
            <w:pPr>
              <w:spacing w:after="0"/>
              <w:rPr>
                <w:sz w:val="20"/>
                <w:szCs w:val="20"/>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cGMP Batch if Forty Seven provides written notice of</w:t>
            </w:r>
          </w:p>
        </w:tc>
      </w:tr>
      <w:tr>
        <w:trPr>
          <w:trHeight w:val="365"/>
        </w:trPr>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60" w:type="dxa"/>
            <w:vAlign w:val="bottom"/>
            <w:gridSpan w:val="3"/>
          </w:tcPr>
          <w:p>
            <w:pPr>
              <w:ind w:left="2700"/>
              <w:spacing w:after="0"/>
              <w:rPr>
                <w:sz w:val="20"/>
                <w:szCs w:val="20"/>
                <w:color w:val="auto"/>
              </w:rPr>
            </w:pPr>
            <w:r>
              <w:rPr>
                <w:rFonts w:ascii="Arial" w:cs="Arial" w:eastAsia="Arial" w:hAnsi="Arial"/>
                <w:sz w:val="18"/>
                <w:szCs w:val="18"/>
                <w:color w:val="auto"/>
              </w:rPr>
              <w:t>13</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r>
    </w:p>
    <w:p>
      <w:pPr>
        <w:ind w:right="700" w:firstLine="8"/>
        <w:spacing w:after="0" w:line="277" w:lineRule="auto"/>
        <w:tabs>
          <w:tab w:leader="none" w:pos="255" w:val="left"/>
        </w:tabs>
        <w:numPr>
          <w:ilvl w:val="0"/>
          <w:numId w:val="53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80"/>
          </w:cols>
          <w:pgMar w:left="240" w:top="881" w:right="279" w:bottom="1440" w:gutter="0" w:footer="0" w:header="0"/>
        </w:sectPr>
      </w:pPr>
    </w:p>
    <w:bookmarkStart w:id="448" w:name="page449"/>
    <w:bookmarkEnd w:id="4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0">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1940" w:right="60"/>
        <w:spacing w:after="0" w:line="268" w:lineRule="auto"/>
        <w:rPr>
          <w:sz w:val="20"/>
          <w:szCs w:val="20"/>
          <w:color w:val="auto"/>
        </w:rPr>
      </w:pPr>
      <w:r>
        <w:rPr>
          <w:rFonts w:ascii="Arial" w:cs="Arial" w:eastAsia="Arial" w:hAnsi="Arial"/>
          <w:sz w:val="17"/>
          <w:szCs w:val="17"/>
          <w:color w:val="auto"/>
        </w:rPr>
        <w:t>cancellation of such Additional cGMP Batch to Lonza less than or equal to [*] months prior to the Commencement Date of such Additional cGMP Batch or (B) Forty Seven shall pay [*] of the Price for such cancelled Additional cGMP Batch if Forty Seven provides written notice of cancellation of such Additional cGMP Batch to Lonza more than [*] months but less than or equal to [*] months prior to the Commencement Date of such Additional cGMP Batch. In addition, Forty Seven shall pay for all costs associated with the cancelled cGMP Batch that Lonza has incurred, or is irrevocably committed to pay, including the costs of Raw Materials and the Raw Materials Fee, in accordance with Clause 2.8. Lonza shall use commercially reasonable efforts to sell all or any part of the Assigned Capacity (“Additional cGMP Batch Capacity”) that Forty Seven has notified Lonza that it does not wish to use, but Lonza does not make any commitment, warranty or representation that it will be successful in finding any Third Party customer (existing or new) to fill such excess Assigned Capacity and/or Additional cGMP Batch Capacity. If Lonza is able to sell all or any part of such excess Assigned Capacity to a Third Party for a new project, Lonza shall refund to Forty Seven [*] the Suite Fee for such year with respect to each manufacturing slot Lonza is able to sell to a Third Party. If Lonza is able to sell all or any part of such excess Additional cGMP Batch Capacity to a Third Party for a new project, Lonza shall refund to Forty Seven [*] the Price paid by Forty Seven for the cancelled Additional cGMP to the extent [*]. In addition, Forty Seven may refer potential Third Party customers to Lonza in respect of any such excess Assigned Capacity and/or Additional cGMP Batch Capacity, provided that Lonza shall at all times have the sole and absolute discretion whether or not it decides to enter into discussions with such referred Third Party customers.</w:t>
      </w:r>
    </w:p>
    <w:p>
      <w:pPr>
        <w:sectPr>
          <w:pgSz w:w="11900" w:h="16838" w:orient="portrait"/>
          <w:cols w:equalWidth="0" w:num="1">
            <w:col w:w="11420"/>
          </w:cols>
          <w:pgMar w:left="240" w:top="881" w:right="239" w:bottom="1440" w:gutter="0" w:footer="0" w:header="0"/>
        </w:sectPr>
      </w:pPr>
    </w:p>
    <w:p>
      <w:pPr>
        <w:spacing w:after="0" w:line="8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event that the parties agree any additional stages of work to be added to the Project Plan (“Additional Project”), the prices for such Additional Work shall be calculated based on Lonza’s standard pricing at the time of agreement on such Additional Work. ·Once the Additional Work has been added into this Agreement, the pricing for such Additional Work shall be subject to review in accordance with the provisions of Clause 8.4.</w:t>
      </w:r>
    </w:p>
    <w:p>
      <w:pPr>
        <w:spacing w:after="0" w:line="200" w:lineRule="exact"/>
        <w:rPr>
          <w:sz w:val="20"/>
          <w:szCs w:val="20"/>
          <w:color w:val="auto"/>
        </w:rPr>
      </w:pPr>
    </w:p>
    <w:p>
      <w:pPr>
        <w:sectPr>
          <w:pgSz w:w="11900" w:h="16838" w:orient="portrait"/>
          <w:cols w:equalWidth="0" w:num="2">
            <w:col w:w="1220" w:space="720"/>
            <w:col w:w="9480"/>
          </w:cols>
          <w:pgMar w:left="240" w:top="881" w:right="239" w:bottom="1440" w:gutter="0" w:footer="0" w:header="0"/>
          <w:type w:val="continuous"/>
        </w:sectPr>
      </w:pPr>
    </w:p>
    <w:p>
      <w:pPr>
        <w:spacing w:after="0" w:line="131" w:lineRule="exact"/>
        <w:rPr>
          <w:sz w:val="20"/>
          <w:szCs w:val="20"/>
          <w:color w:val="auto"/>
        </w:rPr>
      </w:pPr>
    </w:p>
    <w:p>
      <w:pPr>
        <w:ind w:left="920" w:hanging="912"/>
        <w:spacing w:after="0"/>
        <w:tabs>
          <w:tab w:leader="none" w:pos="920"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Acceptance</w:t>
      </w:r>
    </w:p>
    <w:p>
      <w:pPr>
        <w:spacing w:after="0" w:line="11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7.1</w:t>
            </w:r>
          </w:p>
        </w:tc>
        <w:tc>
          <w:tcPr>
            <w:tcW w:w="9400" w:type="dxa"/>
            <w:vAlign w:val="bottom"/>
            <w:gridSpan w:val="3"/>
          </w:tcPr>
          <w:p>
            <w:pPr>
              <w:spacing w:after="0"/>
              <w:rPr>
                <w:sz w:val="20"/>
                <w:szCs w:val="20"/>
                <w:color w:val="auto"/>
              </w:rPr>
            </w:pPr>
            <w:r>
              <w:rPr>
                <w:rFonts w:ascii="Arial" w:cs="Arial" w:eastAsia="Arial" w:hAnsi="Arial"/>
                <w:sz w:val="18"/>
                <w:szCs w:val="18"/>
                <w:color w:val="auto"/>
                <w:w w:val="94"/>
              </w:rPr>
              <w:t>Delivery. All Product shall be delivered [*] (as defined by incoterms</w:t>
            </w:r>
            <w:r>
              <w:rPr>
                <w:rFonts w:ascii="Arial" w:cs="Arial" w:eastAsia="Arial" w:hAnsi="Arial"/>
                <w:sz w:val="15"/>
                <w:szCs w:val="15"/>
                <w:color w:val="auto"/>
                <w:w w:val="94"/>
              </w:rPr>
              <w:t>®</w:t>
            </w:r>
            <w:r>
              <w:rPr>
                <w:rFonts w:ascii="Arial" w:cs="Arial" w:eastAsia="Arial" w:hAnsi="Arial"/>
                <w:sz w:val="18"/>
                <w:szCs w:val="18"/>
                <w:color w:val="auto"/>
                <w:w w:val="94"/>
              </w:rPr>
              <w:t>2010) [*] and with respect to the Product, title and risk of</w:t>
            </w:r>
          </w:p>
        </w:tc>
      </w:tr>
      <w:tr>
        <w:trPr>
          <w:trHeight w:val="20"/>
        </w:trPr>
        <w:tc>
          <w:tcPr>
            <w:tcW w:w="1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w w:val="97"/>
              </w:rPr>
              <w:t>loss shall transfer to Forty Seven upon Release in accordance with this provision. For the avoidance of doubt, shipping or</w:t>
            </w:r>
          </w:p>
        </w:tc>
      </w:tr>
      <w:tr>
        <w:trPr>
          <w:trHeight w:val="216"/>
        </w:trPr>
        <w:tc>
          <w:tcPr>
            <w:tcW w:w="10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w w:val="89"/>
              </w:rPr>
              <w:t>transportation of the Products, whether or not any arrangements are made by Lonza on behalf of the Forty Seven, shall be made at</w:t>
            </w:r>
          </w:p>
        </w:tc>
      </w:tr>
      <w:tr>
        <w:trPr>
          <w:trHeight w:val="230"/>
        </w:trPr>
        <w:tc>
          <w:tcPr>
            <w:tcW w:w="102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the sole risk and expense of the Forty Seven.</w:t>
            </w:r>
          </w:p>
        </w:tc>
      </w:tr>
      <w:tr>
        <w:trPr>
          <w:trHeight w:val="29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7.2</w:t>
            </w:r>
          </w:p>
        </w:tc>
        <w:tc>
          <w:tcPr>
            <w:tcW w:w="620" w:type="dxa"/>
            <w:vAlign w:val="bottom"/>
            <w:gridSpan w:val="2"/>
          </w:tcPr>
          <w:p>
            <w:pPr>
              <w:spacing w:after="0"/>
              <w:rPr>
                <w:sz w:val="20"/>
                <w:szCs w:val="20"/>
                <w:color w:val="auto"/>
              </w:rPr>
            </w:pPr>
            <w:r>
              <w:rPr>
                <w:rFonts w:ascii="Arial" w:cs="Arial" w:eastAsia="Arial" w:hAnsi="Arial"/>
                <w:sz w:val="18"/>
                <w:szCs w:val="18"/>
                <w:color w:val="auto"/>
                <w:w w:val="95"/>
              </w:rPr>
              <w:t>Storage</w:t>
            </w:r>
          </w:p>
        </w:tc>
        <w:tc>
          <w:tcPr>
            <w:tcW w:w="8780" w:type="dxa"/>
            <w:vAlign w:val="bottom"/>
          </w:tcPr>
          <w:p>
            <w:pPr>
              <w:spacing w:after="0"/>
              <w:rPr>
                <w:sz w:val="24"/>
                <w:szCs w:val="24"/>
                <w:color w:val="auto"/>
              </w:rPr>
            </w:pPr>
          </w:p>
        </w:tc>
      </w:tr>
      <w:tr>
        <w:trPr>
          <w:trHeight w:val="344"/>
        </w:trPr>
        <w:tc>
          <w:tcPr>
            <w:tcW w:w="1020" w:type="dxa"/>
            <w:vAlign w:val="bottom"/>
          </w:tcPr>
          <w:p>
            <w:pPr>
              <w:spacing w:after="0"/>
              <w:rPr>
                <w:sz w:val="24"/>
                <w:szCs w:val="2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24"/>
                <w:szCs w:val="24"/>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w w:val="91"/>
              </w:rPr>
              <w:t>Forty Seven shall arrange for shipment and take delivery of each Batch from the Facility, at Forty Seven’s expense,</w:t>
            </w:r>
          </w:p>
        </w:tc>
      </w:tr>
      <w:tr>
        <w:trPr>
          <w:trHeight w:val="230"/>
        </w:trPr>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w w:val="90"/>
              </w:rPr>
              <w:t>within [*] days after Release or pay applicable storage costs. Lonza shall provide storage on a bill and hold basis for</w:t>
            </w:r>
          </w:p>
        </w:tc>
      </w:tr>
    </w:tbl>
    <w:p>
      <w:pPr>
        <w:ind w:left="2960"/>
        <w:spacing w:after="0" w:line="252" w:lineRule="auto"/>
        <w:rPr>
          <w:sz w:val="20"/>
          <w:szCs w:val="20"/>
          <w:color w:val="auto"/>
        </w:rPr>
      </w:pPr>
      <w:r>
        <w:rPr>
          <w:rFonts w:ascii="Arial" w:cs="Arial" w:eastAsia="Arial" w:hAnsi="Arial"/>
          <w:sz w:val="18"/>
          <w:szCs w:val="18"/>
          <w:color w:val="auto"/>
        </w:rPr>
        <w:t>such Batch(es) at no charge for up to [*] days; provided that any additional storage beyond [*] days will be subject to availability and, if available, will be charged to Fort Seven and will be subject to a separate agreement. In addition to clause 8.2, Forty Seven shall be responsible for all value added tax (VAT) and any other applicable taxes, levies, import, duties and fees of whatever nature imposed as a result of any storage (other than taxes on Lonza’s income). Notwithstanding anything to the contrary contained in this Agreement, in no event shall Lonza be required to store any Batch for more than [*] calendar days after Release. Within [*] days following a written request from Lonza, Forty Seven shall provide Lonza with a letter in form satisfactory to Lonza confirming the bill and hold status of each stored Batch.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117" w:lineRule="exact"/>
        <w:rPr>
          <w:sz w:val="20"/>
          <w:szCs w:val="20"/>
          <w:color w:val="auto"/>
        </w:rPr>
      </w:pPr>
    </w:p>
    <w:p>
      <w:pPr>
        <w:ind w:right="740" w:firstLine="8"/>
        <w:spacing w:after="0" w:line="277" w:lineRule="auto"/>
        <w:tabs>
          <w:tab w:leader="none" w:pos="255"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881" w:right="239" w:bottom="1440" w:gutter="0" w:footer="0" w:header="0"/>
          <w:type w:val="continuous"/>
        </w:sectPr>
      </w:pPr>
    </w:p>
    <w:bookmarkStart w:id="449" w:name="page450"/>
    <w:bookmarkEnd w:id="449"/>
    <w:tbl>
      <w:tblPr>
        <w:tblLayout w:type="fixed"/>
        <w:tblInd w:w="0" w:type="dxa"/>
        <w:tblCellMar>
          <w:top w:w="0" w:type="dxa"/>
          <w:left w:w="0" w:type="dxa"/>
          <w:bottom w:w="0" w:type="dxa"/>
          <w:right w:w="0" w:type="dxa"/>
        </w:tblCellMar>
      </w:tblPr>
      <w:tr>
        <w:trPr>
          <w:trHeight w:val="230"/>
        </w:trPr>
        <w:tc>
          <w:tcPr>
            <w:tcW w:w="1940" w:type="dxa"/>
            <w:vAlign w:val="bottom"/>
          </w:tcPr>
          <w:p>
            <w:pPr>
              <w:jc w:val="right"/>
              <w:ind w:right="530"/>
              <w:spacing w:after="0"/>
              <w:rPr>
                <w:sz w:val="20"/>
                <w:szCs w:val="20"/>
                <w:color w:val="auto"/>
              </w:rPr>
            </w:pPr>
            <w:r>
              <w:rPr>
                <w:rFonts w:ascii="Arial" w:cs="Arial" w:eastAsia="Arial" w:hAnsi="Arial"/>
                <w:sz w:val="18"/>
                <w:szCs w:val="18"/>
                <w:color w:val="auto"/>
                <w:w w:val="98"/>
              </w:rPr>
              <w:t>CONFIDENTIAL</w:t>
            </w:r>
          </w:p>
        </w:tc>
        <w:tc>
          <w:tcPr>
            <w:tcW w:w="7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350"/>
        </w:trPr>
        <w:tc>
          <w:tcPr>
            <w:tcW w:w="19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7.2.2</w:t>
            </w: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89"/>
              </w:rPr>
              <w:t>The Products shall be stored by Lonza at Lonza’s premises in accordance with Lonza’s standard operating procedure,</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0"/>
              </w:rPr>
              <w:t>subject always to audit by Forty Seven in accordance with the Quality Agreement and clause 7.2.1. Lonza shall keep</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2"/>
              </w:rPr>
              <w:t>all such Products and Forty Seven Materials free of all security interests, liens and other encumbrances and Lonza</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3"/>
              </w:rPr>
              <w:t>shall retain control thereof and shall not transfer the same to any Third party unless otherwise agreed in writing by</w:t>
            </w:r>
          </w:p>
        </w:tc>
      </w:tr>
      <w:tr>
        <w:trPr>
          <w:trHeight w:val="230"/>
        </w:trPr>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rPr>
              <w:t>the Parties.</w:t>
            </w:r>
          </w:p>
        </w:tc>
      </w:tr>
      <w:tr>
        <w:trPr>
          <w:trHeight w:val="297"/>
        </w:trPr>
        <w:tc>
          <w:tcPr>
            <w:tcW w:w="1940" w:type="dxa"/>
            <w:vAlign w:val="bottom"/>
          </w:tcPr>
          <w:p>
            <w:pPr>
              <w:jc w:val="right"/>
              <w:ind w:right="710"/>
              <w:spacing w:after="0"/>
              <w:rPr>
                <w:sz w:val="20"/>
                <w:szCs w:val="20"/>
                <w:color w:val="auto"/>
              </w:rPr>
            </w:pPr>
            <w:r>
              <w:rPr>
                <w:rFonts w:ascii="Arial" w:cs="Arial" w:eastAsia="Arial" w:hAnsi="Arial"/>
                <w:sz w:val="18"/>
                <w:szCs w:val="18"/>
                <w:color w:val="auto"/>
              </w:rPr>
              <w:t>7.3</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Acceptance/Rejection of Product</w:t>
            </w:r>
          </w:p>
        </w:tc>
        <w:tc>
          <w:tcPr>
            <w:tcW w:w="7080" w:type="dxa"/>
            <w:vAlign w:val="bottom"/>
          </w:tcPr>
          <w:p>
            <w:pPr>
              <w:spacing w:after="0"/>
              <w:rPr>
                <w:sz w:val="24"/>
                <w:szCs w:val="24"/>
                <w:color w:val="auto"/>
              </w:rPr>
            </w:pPr>
          </w:p>
        </w:tc>
      </w:tr>
      <w:tr>
        <w:trPr>
          <w:trHeight w:val="344"/>
        </w:trPr>
        <w:tc>
          <w:tcPr>
            <w:tcW w:w="19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7.3.1</w:t>
            </w: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4"/>
              </w:rPr>
              <w:t>Promptly following Release of cGMP Batches, Forty Seven shall inspect such cGMP Batches and shall have the</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2"/>
              </w:rPr>
              <w:t>right to test such Batches to determine compliance with the Specifications. Forty Seven shall notify Lonza in writing</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3"/>
              </w:rPr>
              <w:t>of any rejection of a cGMP Batch based on any claim that it fails to meet Specifications within [*] days of Release,</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1"/>
              </w:rPr>
              <w:t>after which time all unrejected cGMP Batches shall be deemed accepted, subject to Forty Seven’s right to reject any</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1"/>
              </w:rPr>
              <w:t>cGMP Batch for latent defects set out in this clause 7.3.1. Forty Seven shall inform Lonza in writing in case of latent</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2"/>
              </w:rPr>
              <w:t>defects (i.e. not discovered by routine quality control means), promptly upon discovery of such defects but no later</w:t>
            </w:r>
          </w:p>
        </w:tc>
      </w:tr>
      <w:tr>
        <w:trPr>
          <w:trHeight w:val="230"/>
        </w:trPr>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rPr>
              <w:t>than [*] after delivery of the Product.</w:t>
            </w:r>
          </w:p>
        </w:tc>
      </w:tr>
      <w:tr>
        <w:trPr>
          <w:trHeight w:val="323"/>
        </w:trPr>
        <w:tc>
          <w:tcPr>
            <w:tcW w:w="19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7.3.2</w:t>
            </w: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1"/>
              </w:rPr>
              <w:t>In the event that Lonza believes that a cGMP Batch has been incorrectly rejected by Forty Seven, Lonza must notify</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3"/>
              </w:rPr>
              <w:t>Forty Seven in writing within [*] days (such notice, the “Dispute Notice”) and Lonza may require, that Forty Seven</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3"/>
              </w:rPr>
              <w:t>provide to it cGMP Batch samples for testing. Lonza may retain and test the samples of such cGMP Batch. In the</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1"/>
              </w:rPr>
              <w:t>event of a discrepancy between Forty Seven’s and Lonza’s test results such that Lonza’s test results determine that</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5"/>
              </w:rPr>
              <w:t>the cGMP Batch conforms with the Specifications, or there otherwise exists a dispute between the Parties over</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2"/>
              </w:rPr>
              <w:t>whether such cGMP Batch fails to conform to the Specifications or the extent to which such failure is attributable to</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0"/>
              </w:rPr>
              <w:t>a given Party, the Parties shall use good faith efforts to resolve any such discrepancy or dispute; provided that if such</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1"/>
              </w:rPr>
              <w:t>dispute cannot be settled within [*] days from the receipt of the Dispute Notice, then the Parties will submit a sample</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1"/>
              </w:rPr>
              <w:t>of the cGMP Batch to an independent laboratory and require the independent laboratory promptly to review records,</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1"/>
              </w:rPr>
              <w:t>test data and perform comparative tests and/or analyses on samples of the Product that allegedly fails to conform to</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8"/>
              </w:rPr>
              <w:t>Specifications. Such Independent laboratory shall be mutually agreed upon by the Parties. The independent</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0"/>
              </w:rPr>
              <w:t>laboratory’s results shall be in writing and shall be final and binding save for manifest error. Unless otherwise agreed</w:t>
            </w:r>
          </w:p>
        </w:tc>
      </w:tr>
      <w:tr>
        <w:trPr>
          <w:trHeight w:val="216"/>
        </w:trPr>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2"/>
              </w:rPr>
              <w:t>to by the Parties in writing, the costs associated switch such testing and review shall be borne by the Party against</w:t>
            </w:r>
          </w:p>
        </w:tc>
      </w:tr>
      <w:tr>
        <w:trPr>
          <w:trHeight w:val="230"/>
        </w:trPr>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rPr>
              <w:t>whom the Independent laboratory rules.</w:t>
            </w:r>
          </w:p>
        </w:tc>
      </w:tr>
      <w:tr>
        <w:trPr>
          <w:trHeight w:val="323"/>
        </w:trPr>
        <w:tc>
          <w:tcPr>
            <w:tcW w:w="19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7.3.3</w:t>
            </w: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2"/>
              </w:rPr>
              <w:t>Subject to clauses 2.2 and 2.3, in the event that it is determined (by the Parties or the independent laboratory) that</w:t>
            </w:r>
          </w:p>
        </w:tc>
      </w:tr>
      <w:tr>
        <w:trPr>
          <w:trHeight w:val="230"/>
        </w:trPr>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3"/>
              </w:rPr>
              <w:t>any cGMP Batch failed to conform with the Specifications (each a “Failed Batch”) and such failure was [*] (“Lonza</w:t>
            </w:r>
          </w:p>
        </w:tc>
      </w:tr>
    </w:tbl>
    <w:p>
      <w:pPr>
        <w:jc w:val="both"/>
        <w:ind w:left="2960" w:right="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2">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Responsibility”) then Lonza shall replace such Failed Bath at its sole cost and expense, including bearing the cost of obtaining any Raw Material, Resin or other material required for the manufacture of such replacement cGMP Batch. Such replacement shall be made as promptly as practicable, subject to available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right="720" w:firstLine="8"/>
        <w:spacing w:after="0" w:line="277" w:lineRule="auto"/>
        <w:tabs>
          <w:tab w:leader="none" w:pos="25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881" w:right="259" w:bottom="1440" w:gutter="0" w:footer="0" w:header="0"/>
        </w:sectPr>
      </w:pPr>
    </w:p>
    <w:bookmarkStart w:id="450" w:name="page451"/>
    <w:bookmarkEnd w:id="4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4">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2960" w:right="20"/>
        <w:spacing w:after="0" w:line="257" w:lineRule="auto"/>
        <w:rPr>
          <w:sz w:val="20"/>
          <w:szCs w:val="20"/>
          <w:color w:val="auto"/>
        </w:rPr>
      </w:pPr>
      <w:r>
        <w:rPr>
          <w:rFonts w:ascii="Arial" w:cs="Arial" w:eastAsia="Arial" w:hAnsi="Arial"/>
          <w:sz w:val="18"/>
          <w:szCs w:val="18"/>
          <w:color w:val="auto"/>
        </w:rPr>
        <w:t>manufacturing capacity after the confirmation of Lonza Responsibility and in any case as soon as reasonably possible after confirmation of Lonza Responsibility. [*] acknowledges and agrees that [*] with respect to a Failed Batch that is a Lonza Responsibility [*], and in furtherance thereof, [*]. Lonza shall not be responsible for the cost of Raw Materials or Forty Severn Materials consumed in any Batch which failed to meet Specifications except to the extent set forth in this Clause 7.3.3.</w:t>
      </w:r>
    </w:p>
    <w:p>
      <w:pPr>
        <w:spacing w:after="0" w:line="333" w:lineRule="exact"/>
        <w:rPr>
          <w:sz w:val="20"/>
          <w:szCs w:val="20"/>
          <w:color w:val="auto"/>
        </w:rPr>
      </w:pPr>
    </w:p>
    <w:p>
      <w:pPr>
        <w:ind w:left="920" w:hanging="912"/>
        <w:spacing w:after="0"/>
        <w:tabs>
          <w:tab w:leader="none" w:pos="920"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Price and Payment</w:t>
      </w:r>
    </w:p>
    <w:p>
      <w:pPr>
        <w:spacing w:after="0" w:line="11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8.1</w:t>
            </w:r>
          </w:p>
        </w:tc>
        <w:tc>
          <w:tcPr>
            <w:tcW w:w="9480" w:type="dxa"/>
            <w:vAlign w:val="bottom"/>
            <w:gridSpan w:val="7"/>
          </w:tcPr>
          <w:p>
            <w:pPr>
              <w:spacing w:after="0"/>
              <w:rPr>
                <w:sz w:val="20"/>
                <w:szCs w:val="20"/>
                <w:color w:val="auto"/>
              </w:rPr>
            </w:pPr>
            <w:r>
              <w:rPr>
                <w:rFonts w:ascii="Arial" w:cs="Arial" w:eastAsia="Arial" w:hAnsi="Arial"/>
                <w:sz w:val="18"/>
                <w:szCs w:val="18"/>
                <w:color w:val="auto"/>
                <w:w w:val="92"/>
              </w:rPr>
              <w:t>Suite Fee and Batch Fees. Forty Seven shall pay Lonza an annual Suite Fee of [*]. Except as set forth under this agreement, the</w:t>
            </w:r>
          </w:p>
        </w:tc>
      </w:tr>
      <w:tr>
        <w:trPr>
          <w:trHeight w:val="20"/>
        </w:trPr>
        <w:tc>
          <w:tcPr>
            <w:tcW w:w="10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w w:val="94"/>
              </w:rPr>
              <w:t>Suite Fee is payable in full regardless of utilization by Forty Seven and the Suite Fee shall not be reduced or refunded if Forty</w:t>
            </w:r>
          </w:p>
        </w:tc>
      </w:tr>
      <w:tr>
        <w:trPr>
          <w:trHeight w:val="216"/>
        </w:trPr>
        <w:tc>
          <w:tcPr>
            <w:tcW w:w="1020" w:type="dxa"/>
            <w:vAlign w:val="bottom"/>
          </w:tcPr>
          <w:p>
            <w:pPr>
              <w:spacing w:after="0"/>
              <w:rPr>
                <w:sz w:val="18"/>
                <w:szCs w:val="18"/>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w w:val="93"/>
              </w:rPr>
              <w:t>Seven does not make full use of the Assigned Capacity. In addition to the foregoing, Forty Seven shall pay Lonza (i) [*] for each</w:t>
            </w:r>
          </w:p>
        </w:tc>
      </w:tr>
      <w:tr>
        <w:trPr>
          <w:trHeight w:val="216"/>
        </w:trPr>
        <w:tc>
          <w:tcPr>
            <w:tcW w:w="1020" w:type="dxa"/>
            <w:vAlign w:val="bottom"/>
          </w:tcPr>
          <w:p>
            <w:pPr>
              <w:spacing w:after="0"/>
              <w:rPr>
                <w:sz w:val="18"/>
                <w:szCs w:val="18"/>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w w:val="91"/>
              </w:rPr>
              <w:t>Engineering Batch manufactured by Lonza and (ii) [*] for each additional cGMP Batch, including any process Validation Batches),</w:t>
            </w:r>
          </w:p>
        </w:tc>
      </w:tr>
      <w:tr>
        <w:trPr>
          <w:trHeight w:val="216"/>
        </w:trPr>
        <w:tc>
          <w:tcPr>
            <w:tcW w:w="1020" w:type="dxa"/>
            <w:vAlign w:val="bottom"/>
          </w:tcPr>
          <w:p>
            <w:pPr>
              <w:spacing w:after="0"/>
              <w:rPr>
                <w:sz w:val="18"/>
                <w:szCs w:val="18"/>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w w:val="96"/>
              </w:rPr>
              <w:t>manufactured in any calendar year after the first [*] cGMP Batch(es), manufactured in such year (each an “Additional cGMP</w:t>
            </w:r>
          </w:p>
        </w:tc>
      </w:tr>
      <w:tr>
        <w:trPr>
          <w:trHeight w:val="230"/>
        </w:trPr>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Batch”)</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29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8.2</w:t>
            </w:r>
          </w:p>
        </w:tc>
        <w:tc>
          <w:tcPr>
            <w:tcW w:w="9480" w:type="dxa"/>
            <w:vAlign w:val="bottom"/>
            <w:gridSpan w:val="7"/>
          </w:tcPr>
          <w:p>
            <w:pPr>
              <w:spacing w:after="0"/>
              <w:rPr>
                <w:sz w:val="20"/>
                <w:szCs w:val="20"/>
                <w:color w:val="auto"/>
              </w:rPr>
            </w:pPr>
            <w:r>
              <w:rPr>
                <w:rFonts w:ascii="Arial" w:cs="Arial" w:eastAsia="Arial" w:hAnsi="Arial"/>
                <w:sz w:val="18"/>
                <w:szCs w:val="18"/>
                <w:color w:val="auto"/>
                <w:w w:val="95"/>
              </w:rPr>
              <w:t>Other Services. In addition to Clause 8.1, pricing for the Services (other than the manufacture of Batches within the Assigned</w:t>
            </w:r>
          </w:p>
        </w:tc>
      </w:tr>
      <w:tr>
        <w:trPr>
          <w:trHeight w:val="20"/>
        </w:trPr>
        <w:tc>
          <w:tcPr>
            <w:tcW w:w="10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w w:val="90"/>
              </w:rPr>
              <w:t>Capacity, Engineering Batches and Additional cGMP Batches) provided by Lonza are set out in, and based on the assumptions and</w:t>
            </w:r>
          </w:p>
        </w:tc>
      </w:tr>
      <w:tr>
        <w:trPr>
          <w:trHeight w:val="216"/>
        </w:trPr>
        <w:tc>
          <w:tcPr>
            <w:tcW w:w="1020" w:type="dxa"/>
            <w:vAlign w:val="bottom"/>
          </w:tcPr>
          <w:p>
            <w:pPr>
              <w:spacing w:after="0"/>
              <w:rPr>
                <w:sz w:val="18"/>
                <w:szCs w:val="18"/>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w w:val="92"/>
              </w:rPr>
              <w:t>information set out in, the applicable Project Plan. In the event of changes to the Services based on Forty Seven’s request which</w:t>
            </w:r>
          </w:p>
        </w:tc>
      </w:tr>
      <w:tr>
        <w:trPr>
          <w:trHeight w:val="230"/>
        </w:trPr>
        <w:tc>
          <w:tcPr>
            <w:tcW w:w="1020" w:type="dxa"/>
            <w:vAlign w:val="bottom"/>
          </w:tcPr>
          <w:p>
            <w:pPr>
              <w:spacing w:after="0"/>
              <w:rPr>
                <w:sz w:val="20"/>
                <w:szCs w:val="20"/>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rPr>
              <w:t>result in additional costs, the Parties shall execute a written amendment to this Agreement.</w:t>
            </w:r>
          </w:p>
        </w:tc>
      </w:tr>
      <w:tr>
        <w:trPr>
          <w:trHeight w:val="29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8.3</w:t>
            </w:r>
          </w:p>
        </w:tc>
        <w:tc>
          <w:tcPr>
            <w:tcW w:w="9480" w:type="dxa"/>
            <w:vAlign w:val="bottom"/>
            <w:gridSpan w:val="7"/>
          </w:tcPr>
          <w:p>
            <w:pPr>
              <w:spacing w:after="0"/>
              <w:rPr>
                <w:sz w:val="20"/>
                <w:szCs w:val="20"/>
                <w:color w:val="auto"/>
              </w:rPr>
            </w:pPr>
            <w:r>
              <w:rPr>
                <w:rFonts w:ascii="Arial" w:cs="Arial" w:eastAsia="Arial" w:hAnsi="Arial"/>
                <w:sz w:val="18"/>
                <w:szCs w:val="18"/>
                <w:color w:val="auto"/>
                <w:w w:val="95"/>
              </w:rPr>
              <w:t>Raw Materials, Resins, Raw Materials Fees and Safety Stock. In addition to the Suite Fee and Batch fees in accordance with</w:t>
            </w:r>
          </w:p>
        </w:tc>
      </w:tr>
      <w:tr>
        <w:trPr>
          <w:trHeight w:val="20"/>
        </w:trPr>
        <w:tc>
          <w:tcPr>
            <w:tcW w:w="102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w w:val="90"/>
              </w:rPr>
              <w:t>Clause 8.1, and he prices payable under Clause 8.2, Forty Seven shall pay for all Raw Materials, Resins, Safety Stock and the Raw</w:t>
            </w:r>
          </w:p>
        </w:tc>
      </w:tr>
      <w:tr>
        <w:trPr>
          <w:trHeight w:val="230"/>
        </w:trPr>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87"/>
              </w:rPr>
              <w:t>materials Fee.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23"/>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8.4</w:t>
            </w:r>
          </w:p>
        </w:tc>
        <w:tc>
          <w:tcPr>
            <w:tcW w:w="9480" w:type="dxa"/>
            <w:vAlign w:val="bottom"/>
            <w:gridSpan w:val="7"/>
          </w:tcPr>
          <w:p>
            <w:pPr>
              <w:spacing w:after="0"/>
              <w:rPr>
                <w:sz w:val="20"/>
                <w:szCs w:val="20"/>
                <w:color w:val="auto"/>
              </w:rPr>
            </w:pPr>
            <w:r>
              <w:rPr>
                <w:rFonts w:ascii="Arial" w:cs="Arial" w:eastAsia="Arial" w:hAnsi="Arial"/>
                <w:sz w:val="18"/>
                <w:szCs w:val="18"/>
                <w:color w:val="auto"/>
                <w:w w:val="93"/>
              </w:rPr>
              <w:t>Unless otherwise indicated in writing by Lonza, all prices and charges are exclusive of value added tax (VAT0 and of any other</w:t>
            </w:r>
          </w:p>
        </w:tc>
      </w:tr>
      <w:tr>
        <w:trPr>
          <w:trHeight w:val="216"/>
        </w:trPr>
        <w:tc>
          <w:tcPr>
            <w:tcW w:w="1020" w:type="dxa"/>
            <w:vAlign w:val="bottom"/>
          </w:tcPr>
          <w:p>
            <w:pPr>
              <w:spacing w:after="0"/>
              <w:rPr>
                <w:sz w:val="18"/>
                <w:szCs w:val="18"/>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w w:val="92"/>
              </w:rPr>
              <w:t>applicable taxes, levies, import, duties an fees of whatever nature imposed by or under the authority of any government or public</w:t>
            </w:r>
          </w:p>
        </w:tc>
      </w:tr>
      <w:tr>
        <w:trPr>
          <w:trHeight w:val="216"/>
        </w:trPr>
        <w:tc>
          <w:tcPr>
            <w:tcW w:w="1020" w:type="dxa"/>
            <w:vAlign w:val="bottom"/>
          </w:tcPr>
          <w:p>
            <w:pPr>
              <w:spacing w:after="0"/>
              <w:rPr>
                <w:sz w:val="18"/>
                <w:szCs w:val="18"/>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w w:val="91"/>
              </w:rPr>
              <w:t>authority and all such charges applicable to the Services (other than taxes on Lonza’s income) shall be paid by Forty Seven. When</w:t>
            </w:r>
          </w:p>
        </w:tc>
      </w:tr>
      <w:tr>
        <w:trPr>
          <w:trHeight w:val="230"/>
        </w:trPr>
        <w:tc>
          <w:tcPr>
            <w:tcW w:w="1020" w:type="dxa"/>
            <w:vAlign w:val="bottom"/>
          </w:tcPr>
          <w:p>
            <w:pPr>
              <w:spacing w:after="0"/>
              <w:rPr>
                <w:sz w:val="20"/>
                <w:szCs w:val="20"/>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rPr>
              <w:t>sending payment to Lonza, the Forty Seven shall quote the relevant Invoice number in its remittance advice.</w:t>
            </w:r>
          </w:p>
        </w:tc>
      </w:tr>
      <w:tr>
        <w:trPr>
          <w:trHeight w:val="297"/>
        </w:trPr>
        <w:tc>
          <w:tcPr>
            <w:tcW w:w="1020" w:type="dxa"/>
            <w:vAlign w:val="bottom"/>
          </w:tcPr>
          <w:p>
            <w:pPr>
              <w:jc w:val="right"/>
              <w:ind w:right="710"/>
              <w:spacing w:after="0"/>
              <w:rPr>
                <w:sz w:val="20"/>
                <w:szCs w:val="20"/>
                <w:color w:val="auto"/>
              </w:rPr>
            </w:pPr>
            <w:r>
              <w:rPr>
                <w:rFonts w:ascii="Arial" w:cs="Arial" w:eastAsia="Arial" w:hAnsi="Arial"/>
                <w:sz w:val="18"/>
                <w:szCs w:val="18"/>
                <w:color w:val="auto"/>
                <w:w w:val="79"/>
              </w:rPr>
              <w:t>8.5</w:t>
            </w:r>
          </w:p>
        </w:tc>
        <w:tc>
          <w:tcPr>
            <w:tcW w:w="9480" w:type="dxa"/>
            <w:vAlign w:val="bottom"/>
            <w:gridSpan w:val="7"/>
          </w:tcPr>
          <w:p>
            <w:pPr>
              <w:spacing w:after="0"/>
              <w:rPr>
                <w:sz w:val="20"/>
                <w:szCs w:val="20"/>
                <w:color w:val="auto"/>
              </w:rPr>
            </w:pPr>
            <w:r>
              <w:rPr>
                <w:rFonts w:ascii="Arial" w:cs="Arial" w:eastAsia="Arial" w:hAnsi="Arial"/>
                <w:sz w:val="18"/>
                <w:szCs w:val="18"/>
                <w:color w:val="auto"/>
              </w:rPr>
              <w:t>Payment Terms.</w:t>
            </w:r>
          </w:p>
        </w:tc>
      </w:tr>
      <w:tr>
        <w:trPr>
          <w:trHeight w:val="20"/>
        </w:trPr>
        <w:tc>
          <w:tcPr>
            <w:tcW w:w="1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8.5.1</w:t>
            </w:r>
          </w:p>
        </w:tc>
        <w:tc>
          <w:tcPr>
            <w:tcW w:w="8460" w:type="dxa"/>
            <w:vAlign w:val="bottom"/>
            <w:gridSpan w:val="6"/>
          </w:tcPr>
          <w:p>
            <w:pPr>
              <w:spacing w:after="0"/>
              <w:rPr>
                <w:sz w:val="20"/>
                <w:szCs w:val="20"/>
                <w:color w:val="auto"/>
              </w:rPr>
            </w:pPr>
            <w:r>
              <w:rPr>
                <w:rFonts w:ascii="Arial" w:cs="Arial" w:eastAsia="Arial" w:hAnsi="Arial"/>
                <w:sz w:val="18"/>
                <w:szCs w:val="18"/>
                <w:color w:val="auto"/>
                <w:w w:val="95"/>
              </w:rPr>
              <w:t>Suite Fee. The Suite Fee shall be payable in [*] instalments each year, with the first payment due on [*] and the</w:t>
            </w:r>
          </w:p>
        </w:tc>
      </w:tr>
      <w:tr>
        <w:trPr>
          <w:trHeight w:val="20"/>
        </w:trPr>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60" w:type="dxa"/>
            <w:vAlign w:val="bottom"/>
            <w:gridSpan w:val="6"/>
          </w:tcPr>
          <w:p>
            <w:pPr>
              <w:spacing w:after="0"/>
              <w:rPr>
                <w:sz w:val="20"/>
                <w:szCs w:val="20"/>
                <w:color w:val="auto"/>
              </w:rPr>
            </w:pPr>
            <w:r>
              <w:rPr>
                <w:rFonts w:ascii="Arial" w:cs="Arial" w:eastAsia="Arial" w:hAnsi="Arial"/>
                <w:sz w:val="18"/>
                <w:szCs w:val="18"/>
                <w:color w:val="auto"/>
                <w:w w:val="91"/>
              </w:rPr>
              <w:t>second payment due on [*] and thereafter payable [*] during the Term. Subject to clause 14, Forty Seven will pay the</w:t>
            </w:r>
          </w:p>
        </w:tc>
      </w:tr>
      <w:tr>
        <w:trPr>
          <w:trHeight w:val="230"/>
        </w:trPr>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60" w:type="dxa"/>
            <w:vAlign w:val="bottom"/>
            <w:gridSpan w:val="6"/>
          </w:tcPr>
          <w:p>
            <w:pPr>
              <w:spacing w:after="0"/>
              <w:rPr>
                <w:sz w:val="20"/>
                <w:szCs w:val="20"/>
                <w:color w:val="auto"/>
              </w:rPr>
            </w:pPr>
            <w:r>
              <w:rPr>
                <w:rFonts w:ascii="Arial" w:cs="Arial" w:eastAsia="Arial" w:hAnsi="Arial"/>
                <w:sz w:val="18"/>
                <w:szCs w:val="18"/>
                <w:color w:val="auto"/>
              </w:rPr>
              <w:t>Suite Fee to Lonza for the Term of this Agreement.</w:t>
            </w:r>
          </w:p>
        </w:tc>
      </w:tr>
      <w:tr>
        <w:trPr>
          <w:trHeight w:val="297"/>
        </w:trPr>
        <w:tc>
          <w:tcPr>
            <w:tcW w:w="10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8.5.2</w:t>
            </w:r>
          </w:p>
        </w:tc>
        <w:tc>
          <w:tcPr>
            <w:tcW w:w="8460" w:type="dxa"/>
            <w:vAlign w:val="bottom"/>
            <w:gridSpan w:val="6"/>
          </w:tcPr>
          <w:p>
            <w:pPr>
              <w:spacing w:after="0"/>
              <w:rPr>
                <w:sz w:val="20"/>
                <w:szCs w:val="20"/>
                <w:color w:val="auto"/>
              </w:rPr>
            </w:pPr>
            <w:r>
              <w:rPr>
                <w:rFonts w:ascii="Arial" w:cs="Arial" w:eastAsia="Arial" w:hAnsi="Arial"/>
                <w:sz w:val="18"/>
                <w:szCs w:val="18"/>
                <w:color w:val="auto"/>
                <w:w w:val="96"/>
              </w:rPr>
              <w:t>Batch Fees. Lonza shall issue invoices to Forty Seven for [*] of the Price for each Engineering Batch and each</w:t>
            </w:r>
          </w:p>
        </w:tc>
      </w:tr>
      <w:tr>
        <w:trPr>
          <w:trHeight w:val="20"/>
        </w:trPr>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60" w:type="dxa"/>
            <w:vAlign w:val="bottom"/>
            <w:gridSpan w:val="6"/>
          </w:tcPr>
          <w:p>
            <w:pPr>
              <w:spacing w:after="0"/>
              <w:rPr>
                <w:sz w:val="20"/>
                <w:szCs w:val="20"/>
                <w:color w:val="auto"/>
              </w:rPr>
            </w:pPr>
            <w:r>
              <w:rPr>
                <w:rFonts w:ascii="Arial" w:cs="Arial" w:eastAsia="Arial" w:hAnsi="Arial"/>
                <w:sz w:val="18"/>
                <w:szCs w:val="18"/>
                <w:color w:val="auto"/>
                <w:w w:val="93"/>
              </w:rPr>
              <w:t>Additional cGMP Batch upon commencement thereof and [*] upon Release of each such applicable Batch, unless</w:t>
            </w:r>
          </w:p>
        </w:tc>
      </w:tr>
      <w:tr>
        <w:trPr>
          <w:trHeight w:val="230"/>
        </w:trPr>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60" w:type="dxa"/>
            <w:vAlign w:val="bottom"/>
            <w:gridSpan w:val="6"/>
          </w:tcPr>
          <w:p>
            <w:pPr>
              <w:spacing w:after="0"/>
              <w:rPr>
                <w:sz w:val="20"/>
                <w:szCs w:val="20"/>
                <w:color w:val="auto"/>
              </w:rPr>
            </w:pPr>
            <w:r>
              <w:rPr>
                <w:rFonts w:ascii="Arial" w:cs="Arial" w:eastAsia="Arial" w:hAnsi="Arial"/>
                <w:sz w:val="18"/>
                <w:szCs w:val="18"/>
                <w:color w:val="auto"/>
              </w:rPr>
              <w:t>otherwise stated in the Project Plan.</w:t>
            </w:r>
          </w:p>
        </w:tc>
      </w:tr>
      <w:tr>
        <w:trPr>
          <w:trHeight w:val="365"/>
        </w:trPr>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40" w:type="dxa"/>
            <w:vAlign w:val="bottom"/>
            <w:gridSpan w:val="5"/>
          </w:tcPr>
          <w:p>
            <w:pPr>
              <w:ind w:left="2660"/>
              <w:spacing w:after="0"/>
              <w:rPr>
                <w:sz w:val="20"/>
                <w:szCs w:val="20"/>
                <w:color w:val="auto"/>
              </w:rPr>
            </w:pPr>
            <w:r>
              <w:rPr>
                <w:rFonts w:ascii="Arial" w:cs="Arial" w:eastAsia="Arial" w:hAnsi="Arial"/>
                <w:sz w:val="18"/>
                <w:szCs w:val="18"/>
                <w:color w:val="auto"/>
              </w:rPr>
              <w:t>16</w:t>
            </w:r>
          </w:p>
        </w:tc>
        <w:tc>
          <w:tcPr>
            <w:tcW w:w="5020" w:type="dxa"/>
            <w:vAlign w:val="bottom"/>
          </w:tcPr>
          <w:p>
            <w:pPr>
              <w:spacing w:after="0"/>
              <w:rPr>
                <w:sz w:val="24"/>
                <w:szCs w:val="24"/>
                <w:color w:val="auto"/>
              </w:rPr>
            </w:pPr>
          </w:p>
        </w:tc>
      </w:tr>
    </w:tbl>
    <w:p>
      <w:pPr>
        <w:spacing w:after="0" w:line="94" w:lineRule="exact"/>
        <w:rPr>
          <w:sz w:val="20"/>
          <w:szCs w:val="20"/>
          <w:color w:val="auto"/>
        </w:rPr>
      </w:pPr>
    </w:p>
    <w:p>
      <w:pPr>
        <w:ind w:right="740" w:firstLine="8"/>
        <w:spacing w:after="0" w:line="277" w:lineRule="auto"/>
        <w:tabs>
          <w:tab w:leader="none" w:pos="255" w:val="left"/>
        </w:tabs>
        <w:numPr>
          <w:ilvl w:val="0"/>
          <w:numId w:val="54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881" w:right="239" w:bottom="1440" w:gutter="0" w:footer="0" w:header="0"/>
        </w:sectPr>
      </w:pPr>
    </w:p>
    <w:bookmarkStart w:id="451" w:name="page452"/>
    <w:bookmarkEnd w:id="451"/>
    <w:tbl>
      <w:tblPr>
        <w:tblLayout w:type="fixed"/>
        <w:tblInd w:w="0" w:type="dxa"/>
        <w:tblCellMar>
          <w:top w:w="0" w:type="dxa"/>
          <w:left w:w="0" w:type="dxa"/>
          <w:bottom w:w="0" w:type="dxa"/>
          <w:right w:w="0" w:type="dxa"/>
        </w:tblCellMar>
      </w:tblPr>
      <w:tr>
        <w:trPr>
          <w:trHeight w:val="230"/>
        </w:trPr>
        <w:tc>
          <w:tcPr>
            <w:tcW w:w="1640" w:type="dxa"/>
            <w:vAlign w:val="bottom"/>
          </w:tcPr>
          <w:p>
            <w:pPr>
              <w:jc w:val="right"/>
              <w:ind w:right="230"/>
              <w:spacing w:after="0"/>
              <w:rPr>
                <w:sz w:val="20"/>
                <w:szCs w:val="20"/>
                <w:color w:val="auto"/>
              </w:rPr>
            </w:pPr>
            <w:r>
              <w:rPr>
                <w:rFonts w:ascii="Arial" w:cs="Arial" w:eastAsia="Arial" w:hAnsi="Arial"/>
                <w:sz w:val="18"/>
                <w:szCs w:val="18"/>
                <w:color w:val="auto"/>
                <w:w w:val="98"/>
              </w:rPr>
              <w:t>CONFIDENTIAL</w:t>
            </w: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40" w:type="dxa"/>
            <w:vAlign w:val="bottom"/>
          </w:tcPr>
          <w:p>
            <w:pPr>
              <w:spacing w:after="0"/>
              <w:rPr>
                <w:sz w:val="20"/>
                <w:szCs w:val="20"/>
                <w:color w:val="auto"/>
              </w:rPr>
            </w:pPr>
          </w:p>
        </w:tc>
      </w:tr>
      <w:tr>
        <w:trPr>
          <w:trHeight w:val="324"/>
        </w:trPr>
        <w:tc>
          <w:tcPr>
            <w:tcW w:w="1640" w:type="dxa"/>
            <w:vAlign w:val="bottom"/>
          </w:tcPr>
          <w:p>
            <w:pPr>
              <w:spacing w:after="0"/>
              <w:rPr>
                <w:sz w:val="24"/>
                <w:szCs w:val="24"/>
                <w:color w:val="auto"/>
              </w:rPr>
            </w:pPr>
          </w:p>
        </w:tc>
        <w:tc>
          <w:tcPr>
            <w:tcW w:w="1320" w:type="dxa"/>
            <w:vAlign w:val="bottom"/>
          </w:tcPr>
          <w:p>
            <w:pPr>
              <w:ind w:left="300"/>
              <w:spacing w:after="0"/>
              <w:rPr>
                <w:sz w:val="20"/>
                <w:szCs w:val="20"/>
                <w:color w:val="auto"/>
              </w:rPr>
            </w:pPr>
            <w:r>
              <w:rPr>
                <w:rFonts w:ascii="Arial" w:cs="Arial" w:eastAsia="Arial" w:hAnsi="Arial"/>
                <w:sz w:val="18"/>
                <w:szCs w:val="18"/>
                <w:color w:val="auto"/>
              </w:rPr>
              <w:t>8.5.3</w:t>
            </w:r>
          </w:p>
        </w:tc>
        <w:tc>
          <w:tcPr>
            <w:tcW w:w="8400" w:type="dxa"/>
            <w:vAlign w:val="bottom"/>
            <w:gridSpan w:val="3"/>
          </w:tcPr>
          <w:p>
            <w:pPr>
              <w:spacing w:after="0"/>
              <w:rPr>
                <w:sz w:val="20"/>
                <w:szCs w:val="20"/>
                <w:color w:val="auto"/>
              </w:rPr>
            </w:pPr>
            <w:r>
              <w:rPr>
                <w:rFonts w:ascii="Arial" w:cs="Arial" w:eastAsia="Arial" w:hAnsi="Arial"/>
                <w:sz w:val="18"/>
                <w:szCs w:val="18"/>
                <w:color w:val="auto"/>
                <w:w w:val="92"/>
              </w:rPr>
              <w:t>Raw Materials and Raw Materials Fee. Lonza’s Cost for Raw Materials and the Raw Materials Fee for each Batch</w:t>
            </w:r>
          </w:p>
        </w:tc>
      </w:tr>
      <w:tr>
        <w:trPr>
          <w:trHeight w:val="20"/>
        </w:trPr>
        <w:tc>
          <w:tcPr>
            <w:tcW w:w="1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w w:val="93"/>
              </w:rPr>
              <w:t>shall be invoiced upon the Release of each such Batch. Lonza will provide a list of the Raw Materials and the unit</w:t>
            </w:r>
          </w:p>
        </w:tc>
      </w:tr>
      <w:tr>
        <w:trPr>
          <w:trHeight w:val="216"/>
        </w:trPr>
        <w:tc>
          <w:tcPr>
            <w:tcW w:w="1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w w:val="92"/>
              </w:rPr>
              <w:t>price reflecting Lonza’s Cost for each component of the Raw Materials (excluding any Lonza Intellectual Property).</w:t>
            </w:r>
          </w:p>
        </w:tc>
      </w:tr>
      <w:tr>
        <w:trPr>
          <w:trHeight w:val="230"/>
        </w:trPr>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Resins shall be invoiced at [*].</w:t>
            </w:r>
          </w:p>
        </w:tc>
      </w:tr>
      <w:tr>
        <w:trPr>
          <w:trHeight w:val="323"/>
        </w:trPr>
        <w:tc>
          <w:tcPr>
            <w:tcW w:w="1640" w:type="dxa"/>
            <w:vAlign w:val="bottom"/>
          </w:tcPr>
          <w:p>
            <w:pPr>
              <w:spacing w:after="0"/>
              <w:rPr>
                <w:sz w:val="24"/>
                <w:szCs w:val="24"/>
                <w:color w:val="auto"/>
              </w:rPr>
            </w:pPr>
          </w:p>
        </w:tc>
        <w:tc>
          <w:tcPr>
            <w:tcW w:w="1320" w:type="dxa"/>
            <w:vAlign w:val="bottom"/>
          </w:tcPr>
          <w:p>
            <w:pPr>
              <w:ind w:left="300"/>
              <w:spacing w:after="0"/>
              <w:rPr>
                <w:sz w:val="20"/>
                <w:szCs w:val="20"/>
                <w:color w:val="auto"/>
              </w:rPr>
            </w:pPr>
            <w:r>
              <w:rPr>
                <w:rFonts w:ascii="Arial" w:cs="Arial" w:eastAsia="Arial" w:hAnsi="Arial"/>
                <w:sz w:val="18"/>
                <w:szCs w:val="18"/>
                <w:color w:val="auto"/>
              </w:rPr>
              <w:t>8.5.4</w:t>
            </w:r>
          </w:p>
        </w:tc>
        <w:tc>
          <w:tcPr>
            <w:tcW w:w="8400" w:type="dxa"/>
            <w:vAlign w:val="bottom"/>
            <w:gridSpan w:val="3"/>
          </w:tcPr>
          <w:p>
            <w:pPr>
              <w:spacing w:after="0"/>
              <w:rPr>
                <w:sz w:val="20"/>
                <w:szCs w:val="20"/>
                <w:color w:val="auto"/>
              </w:rPr>
            </w:pPr>
            <w:r>
              <w:rPr>
                <w:rFonts w:ascii="Arial" w:cs="Arial" w:eastAsia="Arial" w:hAnsi="Arial"/>
                <w:sz w:val="18"/>
                <w:szCs w:val="18"/>
                <w:color w:val="auto"/>
                <w:w w:val="94"/>
              </w:rPr>
              <w:t>All invoices are strictly net and payment must be made within [*] days of date of Invoice. Payment shall be made</w:t>
            </w:r>
          </w:p>
        </w:tc>
      </w:tr>
      <w:tr>
        <w:trPr>
          <w:trHeight w:val="230"/>
        </w:trPr>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without deduction, deferment, set-off, lien or counterclaim.</w:t>
            </w:r>
          </w:p>
        </w:tc>
      </w:tr>
      <w:tr>
        <w:trPr>
          <w:trHeight w:val="323"/>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8.6</w:t>
            </w:r>
          </w:p>
        </w:tc>
        <w:tc>
          <w:tcPr>
            <w:tcW w:w="9720" w:type="dxa"/>
            <w:vAlign w:val="bottom"/>
            <w:gridSpan w:val="4"/>
          </w:tcPr>
          <w:p>
            <w:pPr>
              <w:ind w:left="300"/>
              <w:spacing w:after="0"/>
              <w:rPr>
                <w:sz w:val="20"/>
                <w:szCs w:val="20"/>
                <w:color w:val="auto"/>
              </w:rPr>
            </w:pPr>
            <w:r>
              <w:rPr>
                <w:rFonts w:ascii="Arial" w:cs="Arial" w:eastAsia="Arial" w:hAnsi="Arial"/>
                <w:sz w:val="18"/>
                <w:szCs w:val="18"/>
                <w:color w:val="auto"/>
                <w:w w:val="93"/>
              </w:rPr>
              <w:t>If in default of payment of any undisputed invoice on the due date, Interest shall accrue on any amount overdue at the lesser of</w:t>
            </w:r>
          </w:p>
        </w:tc>
      </w:tr>
      <w:tr>
        <w:trPr>
          <w:trHeight w:val="216"/>
        </w:trPr>
        <w:tc>
          <w:tcPr>
            <w:tcW w:w="1640" w:type="dxa"/>
            <w:vAlign w:val="bottom"/>
          </w:tcPr>
          <w:p>
            <w:pPr>
              <w:spacing w:after="0"/>
              <w:rPr>
                <w:sz w:val="18"/>
                <w:szCs w:val="18"/>
                <w:color w:val="auto"/>
              </w:rPr>
            </w:pPr>
          </w:p>
        </w:tc>
        <w:tc>
          <w:tcPr>
            <w:tcW w:w="9720" w:type="dxa"/>
            <w:vAlign w:val="bottom"/>
            <w:gridSpan w:val="4"/>
          </w:tcPr>
          <w:p>
            <w:pPr>
              <w:ind w:left="300"/>
              <w:spacing w:after="0"/>
              <w:rPr>
                <w:sz w:val="20"/>
                <w:szCs w:val="20"/>
                <w:color w:val="auto"/>
              </w:rPr>
            </w:pPr>
            <w:r>
              <w:rPr>
                <w:rFonts w:ascii="Arial" w:cs="Arial" w:eastAsia="Arial" w:hAnsi="Arial"/>
                <w:sz w:val="18"/>
                <w:szCs w:val="18"/>
                <w:color w:val="auto"/>
                <w:w w:val="93"/>
              </w:rPr>
              <w:t>(i) rate of [*] above the London Interbank Offered Rate (LIBOR) or (ii) the maximum rate allowable by applicable law, Interest to</w:t>
            </w:r>
          </w:p>
        </w:tc>
      </w:tr>
      <w:tr>
        <w:trPr>
          <w:trHeight w:val="216"/>
        </w:trPr>
        <w:tc>
          <w:tcPr>
            <w:tcW w:w="1640" w:type="dxa"/>
            <w:vAlign w:val="bottom"/>
          </w:tcPr>
          <w:p>
            <w:pPr>
              <w:spacing w:after="0"/>
              <w:rPr>
                <w:sz w:val="18"/>
                <w:szCs w:val="18"/>
                <w:color w:val="auto"/>
              </w:rPr>
            </w:pPr>
          </w:p>
        </w:tc>
        <w:tc>
          <w:tcPr>
            <w:tcW w:w="9720" w:type="dxa"/>
            <w:vAlign w:val="bottom"/>
            <w:gridSpan w:val="4"/>
          </w:tcPr>
          <w:p>
            <w:pPr>
              <w:ind w:left="300"/>
              <w:spacing w:after="0"/>
              <w:rPr>
                <w:sz w:val="20"/>
                <w:szCs w:val="20"/>
                <w:color w:val="auto"/>
              </w:rPr>
            </w:pPr>
            <w:r>
              <w:rPr>
                <w:rFonts w:ascii="Arial" w:cs="Arial" w:eastAsia="Arial" w:hAnsi="Arial"/>
                <w:sz w:val="18"/>
                <w:szCs w:val="18"/>
                <w:color w:val="auto"/>
                <w:w w:val="94"/>
              </w:rPr>
              <w:t>accrue on a day to day basis until full payment; and Lonza shall, at its sole discretion, and without prejudice o any other of its</w:t>
            </w:r>
          </w:p>
        </w:tc>
      </w:tr>
      <w:tr>
        <w:trPr>
          <w:trHeight w:val="216"/>
        </w:trPr>
        <w:tc>
          <w:tcPr>
            <w:tcW w:w="1640" w:type="dxa"/>
            <w:vAlign w:val="bottom"/>
          </w:tcPr>
          <w:p>
            <w:pPr>
              <w:spacing w:after="0"/>
              <w:rPr>
                <w:sz w:val="18"/>
                <w:szCs w:val="18"/>
                <w:color w:val="auto"/>
              </w:rPr>
            </w:pPr>
          </w:p>
        </w:tc>
        <w:tc>
          <w:tcPr>
            <w:tcW w:w="9720" w:type="dxa"/>
            <w:vAlign w:val="bottom"/>
            <w:gridSpan w:val="4"/>
          </w:tcPr>
          <w:p>
            <w:pPr>
              <w:ind w:left="300"/>
              <w:spacing w:after="0"/>
              <w:rPr>
                <w:sz w:val="20"/>
                <w:szCs w:val="20"/>
                <w:color w:val="auto"/>
              </w:rPr>
            </w:pPr>
            <w:r>
              <w:rPr>
                <w:rFonts w:ascii="Arial" w:cs="Arial" w:eastAsia="Arial" w:hAnsi="Arial"/>
                <w:sz w:val="18"/>
                <w:szCs w:val="18"/>
                <w:color w:val="auto"/>
                <w:w w:val="90"/>
              </w:rPr>
              <w:t>accrued rights, be entitled to suspend the provision of the Services and or delivery of Product until all overdue amounts have been</w:t>
            </w:r>
          </w:p>
        </w:tc>
      </w:tr>
      <w:tr>
        <w:trPr>
          <w:trHeight w:val="230"/>
        </w:trPr>
        <w:tc>
          <w:tcPr>
            <w:tcW w:w="1640" w:type="dxa"/>
            <w:vAlign w:val="bottom"/>
          </w:tcPr>
          <w:p>
            <w:pPr>
              <w:spacing w:after="0"/>
              <w:rPr>
                <w:sz w:val="20"/>
                <w:szCs w:val="20"/>
                <w:color w:val="auto"/>
              </w:rPr>
            </w:pPr>
          </w:p>
        </w:tc>
        <w:tc>
          <w:tcPr>
            <w:tcW w:w="9720" w:type="dxa"/>
            <w:vAlign w:val="bottom"/>
            <w:gridSpan w:val="4"/>
          </w:tcPr>
          <w:p>
            <w:pPr>
              <w:ind w:left="300"/>
              <w:spacing w:after="0"/>
              <w:rPr>
                <w:sz w:val="20"/>
                <w:szCs w:val="20"/>
                <w:color w:val="auto"/>
              </w:rPr>
            </w:pPr>
            <w:r>
              <w:rPr>
                <w:rFonts w:ascii="Arial" w:cs="Arial" w:eastAsia="Arial" w:hAnsi="Arial"/>
                <w:sz w:val="18"/>
                <w:szCs w:val="18"/>
                <w:color w:val="auto"/>
              </w:rPr>
              <w:t>paid in full including interest for late payments.</w:t>
            </w:r>
          </w:p>
        </w:tc>
      </w:tr>
      <w:tr>
        <w:trPr>
          <w:trHeight w:val="297"/>
        </w:trPr>
        <w:tc>
          <w:tcPr>
            <w:tcW w:w="1640" w:type="dxa"/>
            <w:vAlign w:val="bottom"/>
          </w:tcPr>
          <w:p>
            <w:pPr>
              <w:spacing w:after="0"/>
              <w:rPr>
                <w:sz w:val="24"/>
                <w:szCs w:val="24"/>
                <w:color w:val="auto"/>
              </w:rPr>
            </w:pPr>
          </w:p>
        </w:tc>
        <w:tc>
          <w:tcPr>
            <w:tcW w:w="1320" w:type="dxa"/>
            <w:vAlign w:val="bottom"/>
          </w:tcPr>
          <w:p>
            <w:pPr>
              <w:ind w:left="300"/>
              <w:spacing w:after="0"/>
              <w:rPr>
                <w:sz w:val="20"/>
                <w:szCs w:val="20"/>
                <w:color w:val="auto"/>
              </w:rPr>
            </w:pPr>
            <w:r>
              <w:rPr>
                <w:rFonts w:ascii="Arial" w:cs="Arial" w:eastAsia="Arial" w:hAnsi="Arial"/>
                <w:sz w:val="18"/>
                <w:szCs w:val="18"/>
                <w:color w:val="auto"/>
              </w:rPr>
              <w:t>8.6.1</w:t>
            </w:r>
          </w:p>
        </w:tc>
        <w:tc>
          <w:tcPr>
            <w:tcW w:w="8400" w:type="dxa"/>
            <w:vAlign w:val="bottom"/>
            <w:gridSpan w:val="3"/>
          </w:tcPr>
          <w:p>
            <w:pPr>
              <w:spacing w:after="0"/>
              <w:rPr>
                <w:sz w:val="20"/>
                <w:szCs w:val="20"/>
                <w:color w:val="auto"/>
              </w:rPr>
            </w:pPr>
            <w:r>
              <w:rPr>
                <w:rFonts w:ascii="Arial" w:cs="Arial" w:eastAsia="Arial" w:hAnsi="Arial"/>
                <w:sz w:val="18"/>
                <w:szCs w:val="18"/>
                <w:color w:val="auto"/>
                <w:w w:val="94"/>
              </w:rPr>
              <w:t>Price Adjustment. Not more than once per calendar year and with effect from [*], Lonza may adjust the Price for</w:t>
            </w:r>
          </w:p>
        </w:tc>
      </w:tr>
      <w:tr>
        <w:trPr>
          <w:trHeight w:val="20"/>
        </w:trPr>
        <w:tc>
          <w:tcPr>
            <w:tcW w:w="1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w w:val="90"/>
              </w:rPr>
              <w:t>Services in accordance with [*] based upon any change in the index from the previous calendar year or increase the</w:t>
            </w:r>
          </w:p>
        </w:tc>
      </w:tr>
      <w:tr>
        <w:trPr>
          <w:trHeight w:val="216"/>
        </w:trPr>
        <w:tc>
          <w:tcPr>
            <w:tcW w:w="1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w w:val="96"/>
              </w:rPr>
              <w:t>Price by [*], by providing Forty Seven [*] days prior written notice of such adjustment. The new Price reflecting</w:t>
            </w:r>
          </w:p>
        </w:tc>
      </w:tr>
      <w:tr>
        <w:trPr>
          <w:trHeight w:val="216"/>
        </w:trPr>
        <w:tc>
          <w:tcPr>
            <w:tcW w:w="1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w w:val="92"/>
              </w:rPr>
              <w:t>such Price adjustment shall be effective for any Services and/or Batch for which the Commencement Date is on or</w:t>
            </w:r>
          </w:p>
        </w:tc>
      </w:tr>
      <w:tr>
        <w:trPr>
          <w:trHeight w:val="230"/>
        </w:trPr>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after the effective date of Lonza’s notice to Forty Seven of the Price adjustment.</w:t>
            </w:r>
          </w:p>
        </w:tc>
      </w:tr>
      <w:tr>
        <w:trPr>
          <w:trHeight w:val="323"/>
        </w:trPr>
        <w:tc>
          <w:tcPr>
            <w:tcW w:w="1640" w:type="dxa"/>
            <w:vAlign w:val="bottom"/>
          </w:tcPr>
          <w:p>
            <w:pPr>
              <w:spacing w:after="0"/>
              <w:rPr>
                <w:sz w:val="24"/>
                <w:szCs w:val="24"/>
                <w:color w:val="auto"/>
              </w:rPr>
            </w:pPr>
          </w:p>
        </w:tc>
        <w:tc>
          <w:tcPr>
            <w:tcW w:w="1320" w:type="dxa"/>
            <w:vAlign w:val="bottom"/>
          </w:tcPr>
          <w:p>
            <w:pPr>
              <w:ind w:left="300"/>
              <w:spacing w:after="0"/>
              <w:rPr>
                <w:sz w:val="20"/>
                <w:szCs w:val="20"/>
                <w:color w:val="auto"/>
              </w:rPr>
            </w:pPr>
            <w:r>
              <w:rPr>
                <w:rFonts w:ascii="Arial" w:cs="Arial" w:eastAsia="Arial" w:hAnsi="Arial"/>
                <w:sz w:val="18"/>
                <w:szCs w:val="18"/>
                <w:color w:val="auto"/>
              </w:rPr>
              <w:t>8.6.2</w:t>
            </w:r>
          </w:p>
        </w:tc>
        <w:tc>
          <w:tcPr>
            <w:tcW w:w="8400" w:type="dxa"/>
            <w:vAlign w:val="bottom"/>
            <w:gridSpan w:val="3"/>
          </w:tcPr>
          <w:p>
            <w:pPr>
              <w:spacing w:after="0"/>
              <w:rPr>
                <w:sz w:val="20"/>
                <w:szCs w:val="20"/>
                <w:color w:val="auto"/>
              </w:rPr>
            </w:pPr>
            <w:r>
              <w:rPr>
                <w:rFonts w:ascii="Arial" w:cs="Arial" w:eastAsia="Arial" w:hAnsi="Arial"/>
                <w:sz w:val="18"/>
                <w:szCs w:val="18"/>
                <w:color w:val="auto"/>
                <w:w w:val="95"/>
              </w:rPr>
              <w:t>In addition to the above, the Price may be changed by Lonza not more than once per calendar year, upon prior</w:t>
            </w:r>
          </w:p>
        </w:tc>
      </w:tr>
      <w:tr>
        <w:trPr>
          <w:trHeight w:val="230"/>
        </w:trPr>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w w:val="91"/>
              </w:rPr>
              <w:t>written notice to Forty Seven (providing reasonable detail in support thereof), to reflect an increase of more than [*],</w:t>
            </w:r>
          </w:p>
        </w:tc>
      </w:tr>
    </w:tbl>
    <w:p>
      <w:pPr>
        <w:ind w:left="29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6">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as compared to the prior calendar year, in Lonza’s costs to manufacture the Product (other than any change in the cost of Raw Materials), including any change In an environmental, safety or regulatory standard that is outside of Lonza’s control and substantially impacts Lonza’s cost and ability to perform the Services, provided that (i) any such Increase up to [*] shall be [*] and (ii) to the extent any such increase is more than [*], the amount of such increase above [*] shall be [*] such that the Price shall be Increased by [*]. Notwithstanding the foregoing, in no event shall the Price be increased by more than [*] for the purposes of this clause 8.6.2 in any calendar year, except with respect to any such increase to the extent attributable to [*], in which case [*].</w:t>
      </w:r>
    </w:p>
    <w:p>
      <w:pPr>
        <w:spacing w:after="0" w:line="325" w:lineRule="exact"/>
        <w:rPr>
          <w:sz w:val="20"/>
          <w:szCs w:val="20"/>
          <w:color w:val="auto"/>
        </w:rPr>
      </w:pPr>
    </w:p>
    <w:p>
      <w:pPr>
        <w:ind w:left="920" w:hanging="912"/>
        <w:spacing w:after="0"/>
        <w:tabs>
          <w:tab w:leader="none" w:pos="920" w:val="left"/>
        </w:tabs>
        <w:numPr>
          <w:ilvl w:val="0"/>
          <w:numId w:val="542"/>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10</w:t>
            </w:r>
          </w:p>
        </w:tc>
        <w:tc>
          <w:tcPr>
            <w:tcW w:w="10700" w:type="dxa"/>
            <w:vAlign w:val="bottom"/>
            <w:gridSpan w:val="4"/>
          </w:tcPr>
          <w:p>
            <w:pPr>
              <w:ind w:left="360"/>
              <w:spacing w:after="0"/>
              <w:rPr>
                <w:sz w:val="20"/>
                <w:szCs w:val="20"/>
                <w:color w:val="auto"/>
              </w:rPr>
            </w:pPr>
            <w:r>
              <w:rPr>
                <w:rFonts w:ascii="Arial" w:cs="Arial" w:eastAsia="Arial" w:hAnsi="Arial"/>
                <w:sz w:val="18"/>
                <w:szCs w:val="18"/>
                <w:b w:val="1"/>
                <w:bCs w:val="1"/>
                <w:color w:val="auto"/>
              </w:rPr>
              <w:t>Intellectual Property</w:t>
            </w:r>
          </w:p>
        </w:tc>
      </w:tr>
      <w:tr>
        <w:trPr>
          <w:trHeight w:val="297"/>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10.1</w:t>
            </w:r>
          </w:p>
        </w:tc>
        <w:tc>
          <w:tcPr>
            <w:tcW w:w="9320" w:type="dxa"/>
            <w:vAlign w:val="bottom"/>
            <w:gridSpan w:val="3"/>
          </w:tcPr>
          <w:p>
            <w:pPr>
              <w:spacing w:after="0"/>
              <w:rPr>
                <w:sz w:val="20"/>
                <w:szCs w:val="20"/>
                <w:color w:val="auto"/>
              </w:rPr>
            </w:pPr>
            <w:r>
              <w:rPr>
                <w:rFonts w:ascii="Arial" w:cs="Arial" w:eastAsia="Arial" w:hAnsi="Arial"/>
                <w:sz w:val="18"/>
                <w:szCs w:val="18"/>
                <w:color w:val="auto"/>
                <w:w w:val="96"/>
              </w:rPr>
              <w:t>Background Intellectual Property. Neither Party will as a result of this Agreement, acquire any right, title, or interest in any</w:t>
            </w:r>
          </w:p>
        </w:tc>
      </w:tr>
      <w:tr>
        <w:trPr>
          <w:trHeight w:val="20"/>
        </w:trPr>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Background Intellectual Property of the other Party or any of Its Affiliates.</w:t>
            </w:r>
          </w:p>
        </w:tc>
      </w:tr>
      <w:tr>
        <w:trPr>
          <w:trHeight w:val="297"/>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10.2</w:t>
            </w:r>
          </w:p>
        </w:tc>
        <w:tc>
          <w:tcPr>
            <w:tcW w:w="9320" w:type="dxa"/>
            <w:vAlign w:val="bottom"/>
            <w:gridSpan w:val="3"/>
          </w:tcPr>
          <w:p>
            <w:pPr>
              <w:spacing w:after="0"/>
              <w:rPr>
                <w:sz w:val="20"/>
                <w:szCs w:val="20"/>
                <w:color w:val="auto"/>
              </w:rPr>
            </w:pPr>
            <w:r>
              <w:rPr>
                <w:rFonts w:ascii="Arial" w:cs="Arial" w:eastAsia="Arial" w:hAnsi="Arial"/>
                <w:sz w:val="18"/>
                <w:szCs w:val="18"/>
                <w:color w:val="auto"/>
                <w:w w:val="90"/>
              </w:rPr>
              <w:t>New Forty Seven intellectual Property. Subject to Clauses 10.1 and 10.3, Forty Seven shall own all right, title, and interest in and</w:t>
            </w:r>
          </w:p>
        </w:tc>
      </w:tr>
      <w:tr>
        <w:trPr>
          <w:trHeight w:val="20"/>
        </w:trPr>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w w:val="94"/>
              </w:rPr>
              <w:t>to any and all Intellectual Property that Lonza and/or its Affiliates, the External Laboratories or other contractors or agents of</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Lonza develops,</w:t>
            </w:r>
          </w:p>
        </w:tc>
      </w:tr>
      <w:tr>
        <w:trPr>
          <w:trHeight w:val="365"/>
        </w:trPr>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320" w:type="dxa"/>
            <w:vAlign w:val="bottom"/>
            <w:gridSpan w:val="3"/>
          </w:tcPr>
          <w:p>
            <w:pPr>
              <w:ind w:left="3680"/>
              <w:spacing w:after="0"/>
              <w:rPr>
                <w:sz w:val="20"/>
                <w:szCs w:val="20"/>
                <w:color w:val="auto"/>
              </w:rPr>
            </w:pPr>
            <w:r>
              <w:rPr>
                <w:rFonts w:ascii="Arial" w:cs="Arial" w:eastAsia="Arial" w:hAnsi="Arial"/>
                <w:sz w:val="18"/>
                <w:szCs w:val="18"/>
                <w:color w:val="auto"/>
              </w:rPr>
              <w:t>17</w:t>
            </w:r>
          </w:p>
        </w:tc>
      </w:tr>
    </w:tbl>
    <w:p>
      <w:pPr>
        <w:spacing w:after="0" w:line="94" w:lineRule="exact"/>
        <w:rPr>
          <w:sz w:val="20"/>
          <w:szCs w:val="20"/>
          <w:color w:val="auto"/>
        </w:rPr>
      </w:pPr>
    </w:p>
    <w:p>
      <w:pPr>
        <w:ind w:right="700" w:firstLine="8"/>
        <w:spacing w:after="0" w:line="277" w:lineRule="auto"/>
        <w:tabs>
          <w:tab w:leader="none" w:pos="25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80"/>
          </w:cols>
          <w:pgMar w:left="240" w:top="882" w:right="279" w:bottom="1440" w:gutter="0" w:footer="0" w:header="0"/>
        </w:sectPr>
      </w:pPr>
    </w:p>
    <w:bookmarkStart w:id="452" w:name="page453"/>
    <w:bookmarkEnd w:id="452"/>
    <w:tbl>
      <w:tblPr>
        <w:tblLayout w:type="fixed"/>
        <w:tblInd w:w="0" w:type="dxa"/>
        <w:tblCellMar>
          <w:top w:w="0" w:type="dxa"/>
          <w:left w:w="0" w:type="dxa"/>
          <w:bottom w:w="0" w:type="dxa"/>
          <w:right w:w="0" w:type="dxa"/>
        </w:tblCellMar>
      </w:tblPr>
      <w:tr>
        <w:trPr>
          <w:trHeight w:val="230"/>
        </w:trPr>
        <w:tc>
          <w:tcPr>
            <w:tcW w:w="1940" w:type="dxa"/>
            <w:vAlign w:val="bottom"/>
          </w:tcPr>
          <w:p>
            <w:pPr>
              <w:jc w:val="right"/>
              <w:ind w:right="530"/>
              <w:spacing w:after="0"/>
              <w:rPr>
                <w:sz w:val="20"/>
                <w:szCs w:val="20"/>
                <w:color w:val="auto"/>
              </w:rPr>
            </w:pPr>
            <w:r>
              <w:rPr>
                <w:rFonts w:ascii="Arial" w:cs="Arial" w:eastAsia="Arial" w:hAnsi="Arial"/>
                <w:sz w:val="18"/>
                <w:szCs w:val="18"/>
                <w:color w:val="auto"/>
                <w:w w:val="98"/>
              </w:rPr>
              <w:t>CONFIDENTIAL</w:t>
            </w:r>
          </w:p>
        </w:tc>
        <w:tc>
          <w:tcPr>
            <w:tcW w:w="388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350"/>
        </w:trPr>
        <w:tc>
          <w:tcPr>
            <w:tcW w:w="194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3"/>
              </w:rPr>
              <w:t>conceives, invents, first reduces to practice or makes, solely or jointly with Forty Seven or others as a result of the receipt of the</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3"/>
              </w:rPr>
              <w:t>Forty Seven information, Forty Seven Materials and/or any Products (collectively; the “New Forty Seven Intellectual Property”).</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3"/>
              </w:rPr>
              <w:t>For avoidance of doubt “New Forty Seven Intellectual Property”‘ shall include any material, processes or other items that solely</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6"/>
              </w:rPr>
              <w:t>embody, or that solely are claimed or covered by, any of the foregoing Intellectual Property, but excluding any New General</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Application Intellectual Property. Lonza shall, and shall cause its Affiliates to, promptly disclose to Forty Seven in writing all New</w:t>
            </w:r>
          </w:p>
        </w:tc>
      </w:tr>
      <w:tr>
        <w:trPr>
          <w:trHeight w:val="230"/>
        </w:trPr>
        <w:tc>
          <w:tcPr>
            <w:tcW w:w="1940" w:type="dxa"/>
            <w:vAlign w:val="bottom"/>
          </w:tcPr>
          <w:p>
            <w:pPr>
              <w:spacing w:after="0"/>
              <w:rPr>
                <w:sz w:val="20"/>
                <w:szCs w:val="20"/>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Forty Seven Intellectual Properly.</w:t>
            </w:r>
          </w:p>
        </w:tc>
      </w:tr>
      <w:tr>
        <w:trPr>
          <w:trHeight w:val="242"/>
        </w:trPr>
        <w:tc>
          <w:tcPr>
            <w:tcW w:w="1940" w:type="dxa"/>
            <w:vAlign w:val="bottom"/>
          </w:tcPr>
          <w:p>
            <w:pPr>
              <w:jc w:val="right"/>
              <w:ind w:right="630"/>
              <w:spacing w:after="0"/>
              <w:rPr>
                <w:sz w:val="20"/>
                <w:szCs w:val="20"/>
                <w:color w:val="auto"/>
              </w:rPr>
            </w:pPr>
            <w:r>
              <w:rPr>
                <w:rFonts w:ascii="Arial" w:cs="Arial" w:eastAsia="Arial" w:hAnsi="Arial"/>
                <w:sz w:val="18"/>
                <w:szCs w:val="18"/>
                <w:color w:val="auto"/>
              </w:rPr>
              <w:t>10.3</w:t>
            </w:r>
          </w:p>
        </w:tc>
        <w:tc>
          <w:tcPr>
            <w:tcW w:w="9460" w:type="dxa"/>
            <w:vAlign w:val="bottom"/>
            <w:gridSpan w:val="2"/>
          </w:tcPr>
          <w:p>
            <w:pPr>
              <w:spacing w:after="0"/>
              <w:rPr>
                <w:sz w:val="20"/>
                <w:szCs w:val="20"/>
                <w:color w:val="auto"/>
              </w:rPr>
            </w:pPr>
            <w:r>
              <w:rPr>
                <w:rFonts w:ascii="Arial" w:cs="Arial" w:eastAsia="Arial" w:hAnsi="Arial"/>
                <w:sz w:val="18"/>
                <w:szCs w:val="18"/>
                <w:color w:val="auto"/>
                <w:w w:val="94"/>
              </w:rPr>
              <w:t>New General Application Intellectual Property. Notwithstanding clause 10.2 and subject to the license granted in Clause 10.5,</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5"/>
              </w:rPr>
              <w:t>Lonza shall own all right, title and interest in intellectual Property that Lonza and/or its Affiliates, the External Laboratories or</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other contractors or agents of Lonza, solely or jointly with Forty Seven, develops, conceives, invents, or first reduces to practice or</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0"/>
              </w:rPr>
              <w:t>makes in the course of performance of the Services (i) that is, generally applicable to, the development or manufacture of chemical</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0"/>
              </w:rPr>
              <w:t>or biological products or product components and not specific to the Product and the use or practice of which would not require the</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use or disclosure of Forty Seven Information, Forty Seven Materials or Forty Seven Background Intellectual Property, or (ii) is an</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6"/>
              </w:rPr>
              <w:t>improvement of or direct derivative of any Lonza Background Intellectual Property and/or Lonza Information (collectively the</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4"/>
              </w:rPr>
              <w:t>“New General Application Intellectual Property”). For avoidance of doubt, “New General Application Intellectual Property” shall</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3"/>
              </w:rPr>
              <w:t>include any material, processes or other items that embody, or that are claimed or covered by, any of the foregoing Intellectual</w:t>
            </w:r>
          </w:p>
        </w:tc>
      </w:tr>
      <w:tr>
        <w:trPr>
          <w:trHeight w:val="230"/>
        </w:trPr>
        <w:tc>
          <w:tcPr>
            <w:tcW w:w="1940" w:type="dxa"/>
            <w:vAlign w:val="bottom"/>
          </w:tcPr>
          <w:p>
            <w:pPr>
              <w:spacing w:after="0"/>
              <w:rPr>
                <w:sz w:val="20"/>
                <w:szCs w:val="20"/>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Property.</w:t>
            </w:r>
          </w:p>
        </w:tc>
      </w:tr>
      <w:tr>
        <w:trPr>
          <w:trHeight w:val="216"/>
        </w:trPr>
        <w:tc>
          <w:tcPr>
            <w:tcW w:w="1940" w:type="dxa"/>
            <w:vAlign w:val="bottom"/>
          </w:tcPr>
          <w:p>
            <w:pPr>
              <w:jc w:val="right"/>
              <w:ind w:right="630"/>
              <w:spacing w:after="0"/>
              <w:rPr>
                <w:sz w:val="20"/>
                <w:szCs w:val="20"/>
                <w:color w:val="auto"/>
              </w:rPr>
            </w:pPr>
            <w:r>
              <w:rPr>
                <w:rFonts w:ascii="Arial" w:cs="Arial" w:eastAsia="Arial" w:hAnsi="Arial"/>
                <w:sz w:val="18"/>
                <w:szCs w:val="18"/>
                <w:color w:val="auto"/>
              </w:rPr>
              <w:t>10.4</w:t>
            </w:r>
          </w:p>
        </w:tc>
        <w:tc>
          <w:tcPr>
            <w:tcW w:w="9460" w:type="dxa"/>
            <w:vAlign w:val="bottom"/>
            <w:gridSpan w:val="2"/>
          </w:tcPr>
          <w:p>
            <w:pPr>
              <w:spacing w:after="0"/>
              <w:rPr>
                <w:sz w:val="20"/>
                <w:szCs w:val="20"/>
                <w:color w:val="auto"/>
              </w:rPr>
            </w:pPr>
            <w:r>
              <w:rPr>
                <w:rFonts w:ascii="Arial" w:cs="Arial" w:eastAsia="Arial" w:hAnsi="Arial"/>
                <w:sz w:val="18"/>
                <w:szCs w:val="18"/>
                <w:color w:val="auto"/>
                <w:w w:val="90"/>
              </w:rPr>
              <w:t>Assignment of New Forty Seven Intellectual Property. Lonza hereby assigns, and shall cause its Affiliates to assign, to Forty Seven</w:t>
            </w:r>
          </w:p>
        </w:tc>
      </w:tr>
      <w:tr>
        <w:trPr>
          <w:trHeight w:val="20"/>
        </w:trPr>
        <w:tc>
          <w:tcPr>
            <w:tcW w:w="194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all of its right, title and interest in any New Forty Seven Intellectual Property. Lonza shall execute, and shall cause its personnel as</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3"/>
              </w:rPr>
              <w:t>well as its Affiliates, External Laboratories or other contractors or agents and their personnel, involved in the performance of the</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Services to execute, any documents reasonably required to confirm Forty Seven’s ownership of the New Forty Seven Intellectual</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7"/>
              </w:rPr>
              <w:t>Property, and any documents required to apply for, maintain and enforce any patent or other right in the New Forty Seven</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intellectual Property. This clause 10.4 shall be subject to the terms of the Prior MSA and the GS Licence. Subject to the terms and</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conditions as set forth in this Agreement and the GS Licence, the Cell Line (excluding any Lonza Background Intellectual Property</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3"/>
              </w:rPr>
              <w:t>and New General Application Intellectual Property), shall be the sole and exclusive property of Forty Seven, and Lonza hereby</w:t>
            </w:r>
          </w:p>
        </w:tc>
      </w:tr>
      <w:tr>
        <w:trPr>
          <w:trHeight w:val="230"/>
        </w:trPr>
        <w:tc>
          <w:tcPr>
            <w:tcW w:w="1940" w:type="dxa"/>
            <w:vAlign w:val="bottom"/>
          </w:tcPr>
          <w:p>
            <w:pPr>
              <w:spacing w:after="0"/>
              <w:rPr>
                <w:sz w:val="20"/>
                <w:szCs w:val="20"/>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assigns to Forty Seven all of its right, title and interest in and to the Cell Line.</w:t>
            </w:r>
          </w:p>
        </w:tc>
      </w:tr>
      <w:tr>
        <w:trPr>
          <w:trHeight w:val="242"/>
        </w:trPr>
        <w:tc>
          <w:tcPr>
            <w:tcW w:w="1940" w:type="dxa"/>
            <w:vAlign w:val="bottom"/>
          </w:tcPr>
          <w:p>
            <w:pPr>
              <w:jc w:val="right"/>
              <w:ind w:right="630"/>
              <w:spacing w:after="0"/>
              <w:rPr>
                <w:sz w:val="20"/>
                <w:szCs w:val="20"/>
                <w:color w:val="auto"/>
              </w:rPr>
            </w:pPr>
            <w:r>
              <w:rPr>
                <w:rFonts w:ascii="Arial" w:cs="Arial" w:eastAsia="Arial" w:hAnsi="Arial"/>
                <w:sz w:val="18"/>
                <w:szCs w:val="18"/>
                <w:color w:val="auto"/>
              </w:rPr>
              <w:t>10.5</w:t>
            </w:r>
          </w:p>
        </w:tc>
        <w:tc>
          <w:tcPr>
            <w:tcW w:w="9460" w:type="dxa"/>
            <w:vAlign w:val="bottom"/>
            <w:gridSpan w:val="2"/>
          </w:tcPr>
          <w:p>
            <w:pPr>
              <w:spacing w:after="0"/>
              <w:rPr>
                <w:sz w:val="20"/>
                <w:szCs w:val="20"/>
                <w:color w:val="auto"/>
              </w:rPr>
            </w:pPr>
            <w:r>
              <w:rPr>
                <w:rFonts w:ascii="Arial" w:cs="Arial" w:eastAsia="Arial" w:hAnsi="Arial"/>
                <w:sz w:val="18"/>
                <w:szCs w:val="18"/>
                <w:color w:val="auto"/>
                <w:w w:val="96"/>
              </w:rPr>
              <w:t>Subject to the terms and conditions set forth herein, Lonza hereby grants to Forty Seven, a non-exclusive, world-wide, fully</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9"/>
              </w:rPr>
              <w:t>paid-up, irrevocable, transferable license, including the right to grant and authorize sublicenses, under the New General</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Application Intellectual Property (a) to make, have made, use, sell, offer for sale and import the Products manufactured under this</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Agreement and (b) to the extent necessary to practice and exploit Forty Seven’s rights in and to the New Forty Seven Intellectual</w:t>
            </w:r>
          </w:p>
        </w:tc>
      </w:tr>
      <w:tr>
        <w:trPr>
          <w:trHeight w:val="230"/>
        </w:trPr>
        <w:tc>
          <w:tcPr>
            <w:tcW w:w="1940" w:type="dxa"/>
            <w:vAlign w:val="bottom"/>
          </w:tcPr>
          <w:p>
            <w:pPr>
              <w:spacing w:after="0"/>
              <w:rPr>
                <w:sz w:val="20"/>
                <w:szCs w:val="20"/>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Property in the Products.</w:t>
            </w:r>
          </w:p>
        </w:tc>
      </w:tr>
      <w:tr>
        <w:trPr>
          <w:trHeight w:val="242"/>
        </w:trPr>
        <w:tc>
          <w:tcPr>
            <w:tcW w:w="1940" w:type="dxa"/>
            <w:vAlign w:val="bottom"/>
          </w:tcPr>
          <w:p>
            <w:pPr>
              <w:jc w:val="right"/>
              <w:ind w:right="630"/>
              <w:spacing w:after="0"/>
              <w:rPr>
                <w:sz w:val="20"/>
                <w:szCs w:val="20"/>
                <w:color w:val="auto"/>
              </w:rPr>
            </w:pPr>
            <w:r>
              <w:rPr>
                <w:rFonts w:ascii="Arial" w:cs="Arial" w:eastAsia="Arial" w:hAnsi="Arial"/>
                <w:sz w:val="18"/>
                <w:szCs w:val="18"/>
                <w:color w:val="auto"/>
              </w:rPr>
              <w:t>10.6</w:t>
            </w: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Forty Seven hereby grants Lonza the non-exclusive right to use the Forty Seven Information, Forty Seven Background Intellectual</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3"/>
              </w:rPr>
              <w:t>Property, Forty Seven Materials, New Forty Seven Intellectual Property, the Cell Line, and any and all other intellectual property</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supplied by or on behalf of the Forty Seven, during the Term solely for the purpose of fulfilling its obligations under this</w:t>
            </w:r>
          </w:p>
        </w:tc>
      </w:tr>
      <w:tr>
        <w:trPr>
          <w:trHeight w:val="230"/>
        </w:trPr>
        <w:tc>
          <w:tcPr>
            <w:tcW w:w="1940" w:type="dxa"/>
            <w:vAlign w:val="bottom"/>
          </w:tcPr>
          <w:p>
            <w:pPr>
              <w:spacing w:after="0"/>
              <w:rPr>
                <w:sz w:val="20"/>
                <w:szCs w:val="20"/>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Agreement.</w:t>
            </w:r>
          </w:p>
        </w:tc>
      </w:tr>
      <w:tr>
        <w:trPr>
          <w:trHeight w:val="242"/>
        </w:trPr>
        <w:tc>
          <w:tcPr>
            <w:tcW w:w="1940" w:type="dxa"/>
            <w:vAlign w:val="bottom"/>
          </w:tcPr>
          <w:p>
            <w:pPr>
              <w:jc w:val="right"/>
              <w:ind w:right="630"/>
              <w:spacing w:after="0"/>
              <w:rPr>
                <w:sz w:val="20"/>
                <w:szCs w:val="20"/>
                <w:color w:val="auto"/>
              </w:rPr>
            </w:pPr>
            <w:r>
              <w:rPr>
                <w:rFonts w:ascii="Arial" w:cs="Arial" w:eastAsia="Arial" w:hAnsi="Arial"/>
                <w:sz w:val="18"/>
                <w:szCs w:val="18"/>
                <w:color w:val="auto"/>
              </w:rPr>
              <w:t>10.7</w:t>
            </w:r>
          </w:p>
        </w:tc>
        <w:tc>
          <w:tcPr>
            <w:tcW w:w="9460" w:type="dxa"/>
            <w:vAlign w:val="bottom"/>
            <w:gridSpan w:val="2"/>
          </w:tcPr>
          <w:p>
            <w:pPr>
              <w:spacing w:after="0"/>
              <w:rPr>
                <w:sz w:val="20"/>
                <w:szCs w:val="20"/>
                <w:color w:val="auto"/>
              </w:rPr>
            </w:pPr>
            <w:r>
              <w:rPr>
                <w:rFonts w:ascii="Arial" w:cs="Arial" w:eastAsia="Arial" w:hAnsi="Arial"/>
                <w:sz w:val="18"/>
                <w:szCs w:val="18"/>
                <w:color w:val="auto"/>
                <w:w w:val="96"/>
              </w:rPr>
              <w:t>In the event that Forty Seven is not in breach of clause 11.2 and clause 13 and provided that Lonza has not terminated this</w:t>
            </w:r>
          </w:p>
        </w:tc>
      </w:tr>
      <w:tr>
        <w:trPr>
          <w:trHeight w:val="216"/>
        </w:trPr>
        <w:tc>
          <w:tcPr>
            <w:tcW w:w="194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Agreement pursuant to clause 14.2, Forty Seven will have the right to transfer the Manufacturing Process to itself and/or any Third</w:t>
            </w:r>
          </w:p>
        </w:tc>
      </w:tr>
      <w:tr>
        <w:trPr>
          <w:trHeight w:val="230"/>
        </w:trPr>
        <w:tc>
          <w:tcPr>
            <w:tcW w:w="1940" w:type="dxa"/>
            <w:vAlign w:val="bottom"/>
          </w:tcPr>
          <w:p>
            <w:pPr>
              <w:spacing w:after="0"/>
              <w:rPr>
                <w:sz w:val="20"/>
                <w:szCs w:val="20"/>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Party that is (a) listed on Appendix E hereto upon providing a written notice of five (5) business days to Lonza or (b) approved by</w:t>
            </w:r>
          </w:p>
        </w:tc>
      </w:tr>
    </w:tbl>
    <w:p>
      <w:pPr>
        <w:ind w:left="194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Lonza in writing for the manufacture of that Product (but no other product): provided, however, to the extent such technology transfer includes Lonza Confidential Information, Lonza Background Intellectual Property or New General Application Intellectual Property, such technology transfer shall be subject to the terms of a technology transfer agreement between the Parties (“Technology Transfer Agreement”) in accordance with terms to be agreed by the Parties, including price and payment terms. Lonza shall provide reasonably necessary documents and reasonably cooperate with Forty Seven to complete such technology transfer.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117" w:lineRule="exact"/>
        <w:rPr>
          <w:sz w:val="20"/>
          <w:szCs w:val="20"/>
          <w:color w:val="auto"/>
        </w:rPr>
      </w:pPr>
    </w:p>
    <w:p>
      <w:pPr>
        <w:ind w:right="720" w:firstLine="8"/>
        <w:spacing w:after="0" w:line="277" w:lineRule="auto"/>
        <w:tabs>
          <w:tab w:leader="none" w:pos="255" w:val="left"/>
        </w:tabs>
        <w:numPr>
          <w:ilvl w:val="0"/>
          <w:numId w:val="54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881" w:right="25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0">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11</w:t>
            </w:r>
          </w:p>
        </w:tc>
        <w:tc>
          <w:tcPr>
            <w:tcW w:w="1320" w:type="dxa"/>
            <w:vAlign w:val="bottom"/>
          </w:tcPr>
          <w:p>
            <w:pPr>
              <w:ind w:left="380"/>
              <w:spacing w:after="0"/>
              <w:rPr>
                <w:sz w:val="20"/>
                <w:szCs w:val="20"/>
                <w:color w:val="auto"/>
              </w:rPr>
            </w:pPr>
            <w:r>
              <w:rPr>
                <w:rFonts w:ascii="Arial" w:cs="Arial" w:eastAsia="Arial" w:hAnsi="Arial"/>
                <w:sz w:val="18"/>
                <w:szCs w:val="18"/>
                <w:b w:val="1"/>
                <w:bCs w:val="1"/>
                <w:color w:val="auto"/>
                <w:w w:val="98"/>
              </w:rPr>
              <w:t>Warranties</w:t>
            </w:r>
          </w:p>
        </w:tc>
        <w:tc>
          <w:tcPr>
            <w:tcW w:w="820" w:type="dxa"/>
            <w:vAlign w:val="bottom"/>
          </w:tcPr>
          <w:p>
            <w:pPr>
              <w:spacing w:after="0"/>
              <w:rPr>
                <w:sz w:val="20"/>
                <w:szCs w:val="20"/>
                <w:color w:val="auto"/>
              </w:rPr>
            </w:pPr>
          </w:p>
        </w:tc>
        <w:tc>
          <w:tcPr>
            <w:tcW w:w="8740" w:type="dxa"/>
            <w:vAlign w:val="bottom"/>
          </w:tcPr>
          <w:p>
            <w:pPr>
              <w:spacing w:after="0"/>
              <w:rPr>
                <w:sz w:val="20"/>
                <w:szCs w:val="20"/>
                <w:color w:val="auto"/>
              </w:rPr>
            </w:pPr>
          </w:p>
        </w:tc>
      </w:tr>
      <w:tr>
        <w:trPr>
          <w:trHeight w:val="338"/>
        </w:trPr>
        <w:tc>
          <w:tcPr>
            <w:tcW w:w="540" w:type="dxa"/>
            <w:vAlign w:val="bottom"/>
          </w:tcPr>
          <w:p>
            <w:pPr>
              <w:spacing w:after="0"/>
              <w:rPr>
                <w:sz w:val="24"/>
                <w:szCs w:val="24"/>
                <w:color w:val="auto"/>
              </w:rPr>
            </w:pPr>
          </w:p>
        </w:tc>
        <w:tc>
          <w:tcPr>
            <w:tcW w:w="1320" w:type="dxa"/>
            <w:vAlign w:val="bottom"/>
          </w:tcPr>
          <w:p>
            <w:pPr>
              <w:ind w:left="380"/>
              <w:spacing w:after="0"/>
              <w:rPr>
                <w:sz w:val="20"/>
                <w:szCs w:val="20"/>
                <w:color w:val="auto"/>
              </w:rPr>
            </w:pPr>
            <w:r>
              <w:rPr>
                <w:rFonts w:ascii="Arial" w:cs="Arial" w:eastAsia="Arial" w:hAnsi="Arial"/>
                <w:sz w:val="18"/>
                <w:szCs w:val="18"/>
                <w:color w:val="auto"/>
              </w:rPr>
              <w:t>11.1</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Lonza warrants that:</w:t>
            </w:r>
          </w:p>
        </w:tc>
      </w:tr>
      <w:tr>
        <w:trPr>
          <w:trHeight w:val="323"/>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11.1.1</w:t>
            </w:r>
          </w:p>
        </w:tc>
        <w:tc>
          <w:tcPr>
            <w:tcW w:w="8740" w:type="dxa"/>
            <w:vAlign w:val="bottom"/>
          </w:tcPr>
          <w:p>
            <w:pPr>
              <w:ind w:left="280"/>
              <w:spacing w:after="0"/>
              <w:rPr>
                <w:sz w:val="20"/>
                <w:szCs w:val="20"/>
                <w:color w:val="auto"/>
              </w:rPr>
            </w:pPr>
            <w:r>
              <w:rPr>
                <w:rFonts w:ascii="Arial" w:cs="Arial" w:eastAsia="Arial" w:hAnsi="Arial"/>
                <w:sz w:val="18"/>
                <w:szCs w:val="18"/>
                <w:color w:val="auto"/>
              </w:rPr>
              <w:t>The Services shall be performed in accordance with this Agreement (including all Appendices hereto) and</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rPr>
              <w:t>Applicable Laws;</w:t>
            </w:r>
          </w:p>
        </w:tc>
      </w:tr>
      <w:tr>
        <w:trPr>
          <w:trHeight w:val="323"/>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11.1.2</w:t>
            </w:r>
          </w:p>
        </w:tc>
        <w:tc>
          <w:tcPr>
            <w:tcW w:w="8740" w:type="dxa"/>
            <w:vAlign w:val="bottom"/>
          </w:tcPr>
          <w:p>
            <w:pPr>
              <w:ind w:left="280"/>
              <w:spacing w:after="0"/>
              <w:rPr>
                <w:sz w:val="20"/>
                <w:szCs w:val="20"/>
                <w:color w:val="auto"/>
              </w:rPr>
            </w:pPr>
            <w:r>
              <w:rPr>
                <w:rFonts w:ascii="Arial" w:cs="Arial" w:eastAsia="Arial" w:hAnsi="Arial"/>
                <w:sz w:val="18"/>
                <w:szCs w:val="18"/>
                <w:color w:val="auto"/>
                <w:w w:val="94"/>
              </w:rPr>
              <w:t>subject to the provisions set out in clause 2.2 and clause 7.3.3, the manufacture of Product shall be performed in</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3"/>
              </w:rPr>
              <w:t>accordance with Applicable Law and cGMP and the Products will, at the date of delivery, meet the Specifications;</w:t>
            </w:r>
          </w:p>
        </w:tc>
      </w:tr>
      <w:tr>
        <w:trPr>
          <w:trHeight w:val="323"/>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11.1.3</w:t>
            </w:r>
          </w:p>
        </w:tc>
        <w:tc>
          <w:tcPr>
            <w:tcW w:w="8740" w:type="dxa"/>
            <w:vAlign w:val="bottom"/>
          </w:tcPr>
          <w:p>
            <w:pPr>
              <w:ind w:left="280"/>
              <w:spacing w:after="0"/>
              <w:rPr>
                <w:sz w:val="20"/>
                <w:szCs w:val="20"/>
                <w:color w:val="auto"/>
              </w:rPr>
            </w:pPr>
            <w:r>
              <w:rPr>
                <w:rFonts w:ascii="Arial" w:cs="Arial" w:eastAsia="Arial" w:hAnsi="Arial"/>
                <w:sz w:val="18"/>
                <w:szCs w:val="18"/>
                <w:color w:val="auto"/>
              </w:rPr>
              <w:t>to the best of Lonza’s knowledge and as on the Effective Date of this Agreement, the use by Lonza of the</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rPr>
              <w:t>Manufacturing Process wilt not infringe any rights (including without limitation any intellectual or industrial</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4"/>
              </w:rPr>
              <w:t>property rights) vested in any Third Party, and Lonza will not knowingly include in the Manufacturing Process any</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2"/>
              </w:rPr>
              <w:t>elements that infringe any such intellectual or industrial property rights vested in any Third Party; provided however</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rPr>
              <w:t>that Lonza gives no warranty that the use by Lonza including its Affiliates of the Manufacturing Process in</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1"/>
              </w:rPr>
              <w:t>association with Forty Seven Materials and/or Forty Seven Information in undertaking the Services shall not infringe</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rPr>
              <w:t>any Third Party intellectual or industrial property rights;</w:t>
            </w:r>
          </w:p>
        </w:tc>
      </w:tr>
      <w:tr>
        <w:trPr>
          <w:trHeight w:val="323"/>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11.1.4</w:t>
            </w:r>
          </w:p>
        </w:tc>
        <w:tc>
          <w:tcPr>
            <w:tcW w:w="8740" w:type="dxa"/>
            <w:vAlign w:val="bottom"/>
          </w:tcPr>
          <w:p>
            <w:pPr>
              <w:ind w:left="280"/>
              <w:spacing w:after="0"/>
              <w:rPr>
                <w:sz w:val="20"/>
                <w:szCs w:val="20"/>
                <w:color w:val="auto"/>
              </w:rPr>
            </w:pPr>
            <w:r>
              <w:rPr>
                <w:rFonts w:ascii="Arial" w:cs="Arial" w:eastAsia="Arial" w:hAnsi="Arial"/>
                <w:sz w:val="18"/>
                <w:szCs w:val="18"/>
                <w:color w:val="auto"/>
                <w:w w:val="98"/>
              </w:rPr>
              <w:t>it or its Affiliate holds all necessary permits, approvals, consents and licenses to, enable it or such Affiliate to</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3"/>
              </w:rPr>
              <w:t>perform the Services to be performed by it or such Affiliate, as applicable, at the Facility (subject always to Clause</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6"/>
              </w:rPr>
              <w:t>11.2.3) or such other Lonza facility where the Parties may agree in writing that Product may be manufactured;</w:t>
            </w:r>
          </w:p>
        </w:tc>
      </w:tr>
      <w:tr>
        <w:trPr>
          <w:trHeight w:val="338"/>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11.1.5</w:t>
            </w:r>
          </w:p>
        </w:tc>
        <w:tc>
          <w:tcPr>
            <w:tcW w:w="8740" w:type="dxa"/>
            <w:vAlign w:val="bottom"/>
          </w:tcPr>
          <w:p>
            <w:pPr>
              <w:ind w:left="280"/>
              <w:spacing w:after="0"/>
              <w:rPr>
                <w:sz w:val="20"/>
                <w:szCs w:val="20"/>
                <w:color w:val="auto"/>
              </w:rPr>
            </w:pPr>
            <w:r>
              <w:rPr>
                <w:rFonts w:ascii="Arial" w:cs="Arial" w:eastAsia="Arial" w:hAnsi="Arial"/>
                <w:sz w:val="18"/>
                <w:szCs w:val="18"/>
                <w:color w:val="auto"/>
              </w:rPr>
              <w:t>it has the necessary corporate authorizations to enter into and perform this Agreement;</w:t>
            </w:r>
          </w:p>
        </w:tc>
      </w:tr>
      <w:tr>
        <w:trPr>
          <w:trHeight w:val="323"/>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11.1.6</w:t>
            </w:r>
          </w:p>
        </w:tc>
        <w:tc>
          <w:tcPr>
            <w:tcW w:w="8740" w:type="dxa"/>
            <w:vAlign w:val="bottom"/>
          </w:tcPr>
          <w:p>
            <w:pPr>
              <w:ind w:left="280"/>
              <w:spacing w:after="0"/>
              <w:rPr>
                <w:sz w:val="20"/>
                <w:szCs w:val="20"/>
                <w:color w:val="auto"/>
              </w:rPr>
            </w:pPr>
            <w:r>
              <w:rPr>
                <w:rFonts w:ascii="Arial" w:cs="Arial" w:eastAsia="Arial" w:hAnsi="Arial"/>
                <w:sz w:val="18"/>
                <w:szCs w:val="18"/>
                <w:color w:val="auto"/>
                <w:w w:val="94"/>
              </w:rPr>
              <w:t>as on the Effective Date of this Agreement, Lonza including its Affiliates have not been debarred by a Regulatory</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7"/>
              </w:rPr>
              <w:t>Authority nor have debarment proceedings against Lonza including its Affiliates been commenced. Lonza will</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4"/>
              </w:rPr>
              <w:t>promptly notify Forty Seven in writing if any such proceedings have commenced or if Lonza including its Affiliates</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3"/>
              </w:rPr>
              <w:t>is debarred by a Regulatory Authority. In the event that Forty Seven receives such notice from Lonza or otherwise</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1"/>
              </w:rPr>
              <w:t>becomes aware that Lonza including its Affiliates is debarred by a Regulatory Authority; then Forty Seven shall have</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3"/>
              </w:rPr>
              <w:t>the right to terminate this Agreement In accordance with clause 14.2.1 and in such an event the Forty Seven shall</w:t>
            </w:r>
          </w:p>
        </w:tc>
      </w:tr>
      <w:tr>
        <w:trPr>
          <w:trHeight w:val="216"/>
        </w:trPr>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3"/>
              </w:rPr>
              <w:t>pay to Lonza of all accrued and unpaid obligations up to the date of termination, to the extent not previously been</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rPr>
              <w:t>paid by Forty Seven;</w:t>
            </w:r>
          </w:p>
        </w:tc>
      </w:tr>
      <w:tr>
        <w:trPr>
          <w:trHeight w:val="323"/>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11.1.7</w:t>
            </w:r>
          </w:p>
        </w:tc>
        <w:tc>
          <w:tcPr>
            <w:tcW w:w="8740" w:type="dxa"/>
            <w:vAlign w:val="bottom"/>
          </w:tcPr>
          <w:p>
            <w:pPr>
              <w:ind w:left="280"/>
              <w:spacing w:after="0"/>
              <w:rPr>
                <w:sz w:val="20"/>
                <w:szCs w:val="20"/>
                <w:color w:val="auto"/>
              </w:rPr>
            </w:pPr>
            <w:r>
              <w:rPr>
                <w:rFonts w:ascii="Arial" w:cs="Arial" w:eastAsia="Arial" w:hAnsi="Arial"/>
                <w:sz w:val="18"/>
                <w:szCs w:val="18"/>
                <w:color w:val="auto"/>
                <w:w w:val="92"/>
              </w:rPr>
              <w:t>title to all Product shall pass to Forty Seven as set forth in Clause 7.1 free and clear of any security interest, lien or</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rPr>
              <w:t>other encumbrance in favour of Lonza; and</w:t>
            </w:r>
          </w:p>
        </w:tc>
      </w:tr>
      <w:tr>
        <w:trPr>
          <w:trHeight w:val="323"/>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11.1.8</w:t>
            </w:r>
          </w:p>
        </w:tc>
        <w:tc>
          <w:tcPr>
            <w:tcW w:w="8740" w:type="dxa"/>
            <w:vAlign w:val="bottom"/>
          </w:tcPr>
          <w:p>
            <w:pPr>
              <w:ind w:left="280"/>
              <w:spacing w:after="0"/>
              <w:rPr>
                <w:sz w:val="20"/>
                <w:szCs w:val="20"/>
                <w:color w:val="auto"/>
              </w:rPr>
            </w:pPr>
            <w:r>
              <w:rPr>
                <w:rFonts w:ascii="Arial" w:cs="Arial" w:eastAsia="Arial" w:hAnsi="Arial"/>
                <w:sz w:val="18"/>
                <w:szCs w:val="18"/>
                <w:color w:val="auto"/>
                <w:w w:val="91"/>
              </w:rPr>
              <w:t>each employee of Lonza, a Lonza Affiliate and/or each External Laboratory who will receive or have access to Forty</w:t>
            </w:r>
          </w:p>
        </w:tc>
      </w:tr>
      <w:tr>
        <w:trPr>
          <w:trHeight w:val="230"/>
        </w:trPr>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3"/>
              </w:rPr>
              <w:t>Seven Information or who will perform Services will be subject to written obligations (i) to assign to Lonza any and</w:t>
            </w:r>
          </w:p>
        </w:tc>
      </w:tr>
    </w:tbl>
    <w:p>
      <w:pPr>
        <w:ind w:left="2960" w:right="200"/>
        <w:spacing w:after="0" w:line="292" w:lineRule="auto"/>
        <w:rPr>
          <w:sz w:val="20"/>
          <w:szCs w:val="20"/>
          <w:color w:val="auto"/>
        </w:rPr>
      </w:pPr>
      <w:r>
        <w:rPr>
          <w:rFonts w:ascii="Arial" w:cs="Arial" w:eastAsia="Arial" w:hAnsi="Arial"/>
          <w:sz w:val="16"/>
          <w:szCs w:val="16"/>
          <w:color w:val="auto"/>
        </w:rPr>
        <w:t>all right, title and interest in and to all Intellectual Property developed by such employee or External Laboratory in connection with the performance of Services in accordance with this Agreement and (ii) to protect the Forty Seven Information in accordance with terms at least as protective of the Forty Seven Information as the terms of this Agreement, in each case prior to the earlier of any disclosure of Forty Seven Information to such employee or External Laboratory or the commencement of any such performance by such employee or External Laboratory.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17" w:lineRule="exact"/>
        <w:rPr>
          <w:sz w:val="20"/>
          <w:szCs w:val="20"/>
          <w:color w:val="auto"/>
        </w:rPr>
      </w:pPr>
    </w:p>
    <w:p>
      <w:pPr>
        <w:ind w:right="740" w:firstLine="8"/>
        <w:spacing w:after="0" w:line="277" w:lineRule="auto"/>
        <w:tabs>
          <w:tab w:leader="none" w:pos="255" w:val="left"/>
        </w:tabs>
        <w:numPr>
          <w:ilvl w:val="0"/>
          <w:numId w:val="54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881" w:right="239" w:bottom="1440" w:gutter="0" w:footer="0" w:header="0"/>
        </w:sectPr>
      </w:pPr>
    </w:p>
    <w:bookmarkStart w:id="454" w:name="page455"/>
    <w:bookmarkEnd w:id="454"/>
    <w:tbl>
      <w:tblPr>
        <w:tblLayout w:type="fixed"/>
        <w:tblInd w:w="0" w:type="dxa"/>
        <w:tblCellMar>
          <w:top w:w="0" w:type="dxa"/>
          <w:left w:w="0" w:type="dxa"/>
          <w:bottom w:w="0" w:type="dxa"/>
          <w:right w:w="0" w:type="dxa"/>
        </w:tblCellMar>
      </w:tblP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CONFIDENTIAL</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380" w:type="dxa"/>
            <w:vAlign w:val="bottom"/>
          </w:tcPr>
          <w:p>
            <w:pPr>
              <w:spacing w:after="0"/>
              <w:rPr>
                <w:sz w:val="20"/>
                <w:szCs w:val="20"/>
                <w:color w:val="auto"/>
              </w:rPr>
            </w:pPr>
          </w:p>
        </w:tc>
      </w:tr>
      <w:tr>
        <w:trPr>
          <w:trHeight w:val="365"/>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11.2</w:t>
            </w:r>
          </w:p>
        </w:tc>
        <w:tc>
          <w:tcPr>
            <w:tcW w:w="9480" w:type="dxa"/>
            <w:vAlign w:val="bottom"/>
            <w:gridSpan w:val="3"/>
          </w:tcPr>
          <w:p>
            <w:pPr>
              <w:spacing w:after="0"/>
              <w:rPr>
                <w:sz w:val="20"/>
                <w:szCs w:val="20"/>
                <w:color w:val="auto"/>
              </w:rPr>
            </w:pPr>
            <w:r>
              <w:rPr>
                <w:rFonts w:ascii="Arial" w:cs="Arial" w:eastAsia="Arial" w:hAnsi="Arial"/>
                <w:sz w:val="18"/>
                <w:szCs w:val="18"/>
                <w:color w:val="auto"/>
              </w:rPr>
              <w:t>Forty Seven warrants that:</w:t>
            </w:r>
          </w:p>
        </w:tc>
      </w:tr>
      <w:tr>
        <w:trPr>
          <w:trHeight w:val="323"/>
        </w:trPr>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11.2.1</w:t>
            </w: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0"/>
              </w:rPr>
              <w:t>to the best of the Forty Seven’s knowledge, Forty Seven has all the rights necessary to permit Lonza and its Affiliates</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3"/>
              </w:rPr>
              <w:t>to perform the Services in accordance with the terms of this Agreement without infringing the Intellectual Property</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rPr>
              <w:t>rights of any Third Party;</w:t>
            </w:r>
          </w:p>
        </w:tc>
      </w:tr>
      <w:tr>
        <w:trPr>
          <w:trHeight w:val="323"/>
        </w:trPr>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11.2.2</w:t>
            </w: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6"/>
              </w:rPr>
              <w:t>Forty Seven will promptly notify Lonza in writing if it receives or is notified of a formal written claim from a Third</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5"/>
              </w:rPr>
              <w:t>Party that Forty Seven Information and/or Forty Seven Background Intellectual Property, Forty Seven Materials,</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2"/>
              </w:rPr>
              <w:t>New Forty Seven Intellectual Property, the Cell Line; and/or any and all other information, materials and Intellectual</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7"/>
              </w:rPr>
              <w:t>Property supplied by or on behalf of the Forty Seven, or that the use by Lonza thereof for the provision of the</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rPr>
              <w:t>Services infringes any Intellectual Property or other rights of any Third Party;</w:t>
            </w:r>
          </w:p>
        </w:tc>
      </w:tr>
      <w:tr>
        <w:trPr>
          <w:trHeight w:val="323"/>
        </w:trPr>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11.2.3</w:t>
            </w: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0"/>
              </w:rPr>
              <w:t>to the best of Forty Seven’s knowledge, Forty Seven has all the rights necessary to provide, and permit Lonza and its</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5"/>
              </w:rPr>
              <w:t>Affiliates and the External Laboratories to use for the purposes of this Agreement, the Forty Seven Information,</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4"/>
              </w:rPr>
              <w:t>Forty Seven Background Intellectual Property, Forty Seven Materials, New Forty Seven Intellectual Property, the</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7"/>
              </w:rPr>
              <w:t>Cell Line (subject to the terms of the GS Licence) and any and all other information, materials and Intellectual</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3"/>
              </w:rPr>
              <w:t>Property supplied by or on behalf of the Forty Seven, and that the use of anything referred to in this clause 11.2.3</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rPr>
              <w:t>will not infringe the Intellectual Property rights of any Third Party; and</w:t>
            </w:r>
          </w:p>
        </w:tc>
      </w:tr>
      <w:tr>
        <w:trPr>
          <w:trHeight w:val="338"/>
        </w:trPr>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11.2.4</w:t>
            </w:r>
          </w:p>
        </w:tc>
        <w:tc>
          <w:tcPr>
            <w:tcW w:w="8540" w:type="dxa"/>
            <w:vAlign w:val="bottom"/>
            <w:gridSpan w:val="2"/>
          </w:tcPr>
          <w:p>
            <w:pPr>
              <w:ind w:left="80"/>
              <w:spacing w:after="0"/>
              <w:rPr>
                <w:sz w:val="20"/>
                <w:szCs w:val="20"/>
                <w:color w:val="auto"/>
              </w:rPr>
            </w:pPr>
            <w:r>
              <w:rPr>
                <w:rFonts w:ascii="Arial" w:cs="Arial" w:eastAsia="Arial" w:hAnsi="Arial"/>
                <w:sz w:val="18"/>
                <w:szCs w:val="18"/>
                <w:color w:val="auto"/>
              </w:rPr>
              <w:t>Forty Seven has the necessary corporate authorizations to enter into this Agreement.</w:t>
            </w:r>
          </w:p>
        </w:tc>
      </w:tr>
      <w:tr>
        <w:trPr>
          <w:trHeight w:val="323"/>
        </w:trPr>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11.2.5</w:t>
            </w: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9"/>
              </w:rPr>
              <w:t>as on the Effective Date of this Agreement, Forty Seven including its Affiliates have not been debarred by a</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1"/>
              </w:rPr>
              <w:t>Regulatory Authority nor have debarment proceedings against Forty Seven including its Affiliates been commenced.</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w w:val="98"/>
              </w:rPr>
              <w:t>Forty Seven will promptly notify Lonza in writing if any such proceedings have commenced or if Forty Seven</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540" w:type="dxa"/>
            <w:vAlign w:val="bottom"/>
            <w:gridSpan w:val="2"/>
          </w:tcPr>
          <w:p>
            <w:pPr>
              <w:ind w:left="80"/>
              <w:spacing w:after="0"/>
              <w:rPr>
                <w:sz w:val="20"/>
                <w:szCs w:val="20"/>
                <w:color w:val="auto"/>
              </w:rPr>
            </w:pPr>
            <w:r>
              <w:rPr>
                <w:rFonts w:ascii="Arial" w:cs="Arial" w:eastAsia="Arial" w:hAnsi="Arial"/>
                <w:sz w:val="18"/>
                <w:szCs w:val="18"/>
                <w:color w:val="auto"/>
              </w:rPr>
              <w:t>including its Affiliates is debarred by a Regulatory Authority.</w:t>
            </w:r>
          </w:p>
        </w:tc>
      </w:tr>
      <w:tr>
        <w:trPr>
          <w:trHeight w:val="297"/>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11.3</w:t>
            </w:r>
          </w:p>
        </w:tc>
        <w:tc>
          <w:tcPr>
            <w:tcW w:w="9480" w:type="dxa"/>
            <w:vAlign w:val="bottom"/>
            <w:gridSpan w:val="3"/>
          </w:tcPr>
          <w:p>
            <w:pPr>
              <w:spacing w:after="0"/>
              <w:rPr>
                <w:sz w:val="20"/>
                <w:szCs w:val="20"/>
                <w:color w:val="auto"/>
              </w:rPr>
            </w:pPr>
            <w:r>
              <w:rPr>
                <w:rFonts w:ascii="Arial" w:cs="Arial" w:eastAsia="Arial" w:hAnsi="Arial"/>
                <w:sz w:val="18"/>
                <w:szCs w:val="18"/>
                <w:color w:val="auto"/>
              </w:rPr>
              <w:t>DISCLAIMER: THE WARRANTIES EXPRESSLY SET FORTH IN THIS AGREEMENT ARE IN LIEU OF ALL OTHER</w:t>
            </w:r>
          </w:p>
        </w:tc>
      </w:tr>
      <w:tr>
        <w:trPr>
          <w:trHeight w:val="20"/>
        </w:trPr>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w w:val="99"/>
              </w:rPr>
              <w:t>WARRANTIES, AND ALL OTHER WARRANTIES, BOTH EXPRESS AND IMPLIED, ARE EXPRESSLY DISCLAIMED,</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INCLUDING WITHOUT LIMITATION ANY WARRANTY OF MERCHANTABILITY OR FITNESS FOR A PARTICULAR</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8"/>
              </w:rPr>
              <w:t>PURPOSE.</w:t>
            </w:r>
          </w:p>
        </w:tc>
        <w:tc>
          <w:tcPr>
            <w:tcW w:w="160" w:type="dxa"/>
            <w:vAlign w:val="bottom"/>
          </w:tcPr>
          <w:p>
            <w:pPr>
              <w:spacing w:after="0"/>
              <w:rPr>
                <w:sz w:val="20"/>
                <w:szCs w:val="20"/>
                <w:color w:val="auto"/>
              </w:rPr>
            </w:pPr>
          </w:p>
        </w:tc>
        <w:tc>
          <w:tcPr>
            <w:tcW w:w="8380" w:type="dxa"/>
            <w:vAlign w:val="bottom"/>
          </w:tcPr>
          <w:p>
            <w:pPr>
              <w:spacing w:after="0"/>
              <w:rPr>
                <w:sz w:val="20"/>
                <w:szCs w:val="20"/>
                <w:color w:val="auto"/>
              </w:rPr>
            </w:pPr>
          </w:p>
        </w:tc>
      </w:tr>
      <w:tr>
        <w:trPr>
          <w:trHeight w:val="581"/>
        </w:trPr>
        <w:tc>
          <w:tcPr>
            <w:tcW w:w="560" w:type="dxa"/>
            <w:vAlign w:val="bottom"/>
          </w:tcPr>
          <w:p>
            <w:pPr>
              <w:spacing w:after="0"/>
              <w:rPr>
                <w:sz w:val="20"/>
                <w:szCs w:val="20"/>
                <w:color w:val="auto"/>
              </w:rPr>
            </w:pPr>
            <w:r>
              <w:rPr>
                <w:rFonts w:ascii="Arial" w:cs="Arial" w:eastAsia="Arial" w:hAnsi="Arial"/>
                <w:sz w:val="18"/>
                <w:szCs w:val="18"/>
                <w:b w:val="1"/>
                <w:bCs w:val="1"/>
                <w:color w:val="auto"/>
              </w:rPr>
              <w:t>12</w:t>
            </w:r>
          </w:p>
        </w:tc>
        <w:tc>
          <w:tcPr>
            <w:tcW w:w="10860" w:type="dxa"/>
            <w:vAlign w:val="bottom"/>
            <w:gridSpan w:val="4"/>
          </w:tcPr>
          <w:p>
            <w:pPr>
              <w:ind w:left="360"/>
              <w:spacing w:after="0"/>
              <w:rPr>
                <w:sz w:val="20"/>
                <w:szCs w:val="20"/>
                <w:color w:val="auto"/>
              </w:rPr>
            </w:pPr>
            <w:r>
              <w:rPr>
                <w:rFonts w:ascii="Arial" w:cs="Arial" w:eastAsia="Arial" w:hAnsi="Arial"/>
                <w:sz w:val="18"/>
                <w:szCs w:val="18"/>
                <w:b w:val="1"/>
                <w:bCs w:val="1"/>
                <w:color w:val="auto"/>
              </w:rPr>
              <w:t>Indemnification and Liability</w:t>
            </w:r>
          </w:p>
        </w:tc>
      </w:tr>
      <w:tr>
        <w:trPr>
          <w:trHeight w:val="323"/>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12.1</w:t>
            </w:r>
          </w:p>
        </w:tc>
        <w:tc>
          <w:tcPr>
            <w:tcW w:w="9480" w:type="dxa"/>
            <w:vAlign w:val="bottom"/>
            <w:gridSpan w:val="3"/>
          </w:tcPr>
          <w:p>
            <w:pPr>
              <w:spacing w:after="0"/>
              <w:rPr>
                <w:sz w:val="20"/>
                <w:szCs w:val="20"/>
                <w:color w:val="auto"/>
              </w:rPr>
            </w:pPr>
            <w:r>
              <w:rPr>
                <w:rFonts w:ascii="Arial" w:cs="Arial" w:eastAsia="Arial" w:hAnsi="Arial"/>
                <w:sz w:val="18"/>
                <w:szCs w:val="18"/>
                <w:color w:val="auto"/>
                <w:w w:val="96"/>
              </w:rPr>
              <w:t>Indemnification by Lonza. Lonza shall indemnify the Forty Seven, its Affiliates, and their respective officers, employees and</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w w:val="93"/>
              </w:rPr>
              <w:t>agents (“Forty Seven Indemnitees”) for any loss, damage, costs, liability and expenses (including reasonable attorney fees) that</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w w:val="96"/>
              </w:rPr>
              <w:t>Forty Seven Indemnitees may suffer as a result of any Third Party claim arising directly out of (i) any material breach of the</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w w:val="91"/>
              </w:rPr>
              <w:t>warranties given by Lonza in Clause 11.1 above and/or (ii) any claims alleging that the Services (excluding use by Lonza, Lonza’s</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Affiliates, contractors</w:t>
            </w:r>
          </w:p>
        </w:tc>
      </w:tr>
      <w:tr>
        <w:trPr>
          <w:trHeight w:val="365"/>
        </w:trPr>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540" w:type="dxa"/>
            <w:vAlign w:val="bottom"/>
            <w:gridSpan w:val="2"/>
          </w:tcPr>
          <w:p>
            <w:pPr>
              <w:ind w:left="2740"/>
              <w:spacing w:after="0"/>
              <w:rPr>
                <w:sz w:val="20"/>
                <w:szCs w:val="20"/>
                <w:color w:val="auto"/>
              </w:rPr>
            </w:pPr>
            <w:r>
              <w:rPr>
                <w:rFonts w:ascii="Arial" w:cs="Arial" w:eastAsia="Arial" w:hAnsi="Arial"/>
                <w:sz w:val="18"/>
                <w:szCs w:val="18"/>
                <w:color w:val="auto"/>
              </w:rPr>
              <w:t>20</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2">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r>
    </w:p>
    <w:p>
      <w:pPr>
        <w:ind w:right="740" w:firstLine="8"/>
        <w:spacing w:after="0" w:line="277" w:lineRule="auto"/>
        <w:tabs>
          <w:tab w:leader="none" w:pos="255" w:val="left"/>
        </w:tabs>
        <w:numPr>
          <w:ilvl w:val="0"/>
          <w:numId w:val="54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881" w:right="239" w:bottom="1440" w:gutter="0" w:footer="0" w:header="0"/>
        </w:sectPr>
      </w:pPr>
    </w:p>
    <w:bookmarkStart w:id="455" w:name="page456"/>
    <w:bookmarkEnd w:id="455"/>
    <w:tbl>
      <w:tblPr>
        <w:tblLayout w:type="fixed"/>
        <w:tblInd w:w="0" w:type="dxa"/>
        <w:tblCellMar>
          <w:top w:w="0" w:type="dxa"/>
          <w:left w:w="0" w:type="dxa"/>
          <w:bottom w:w="0" w:type="dxa"/>
          <w:right w:w="0" w:type="dxa"/>
        </w:tblCellMar>
      </w:tblPr>
      <w:tr>
        <w:trPr>
          <w:trHeight w:val="230"/>
        </w:trPr>
        <w:tc>
          <w:tcPr>
            <w:tcW w:w="1940" w:type="dxa"/>
            <w:vAlign w:val="bottom"/>
          </w:tcPr>
          <w:p>
            <w:pPr>
              <w:jc w:val="right"/>
              <w:ind w:right="530"/>
              <w:spacing w:after="0"/>
              <w:rPr>
                <w:sz w:val="20"/>
                <w:szCs w:val="20"/>
                <w:color w:val="auto"/>
              </w:rPr>
            </w:pPr>
            <w:r>
              <w:rPr>
                <w:rFonts w:ascii="Arial" w:cs="Arial" w:eastAsia="Arial" w:hAnsi="Arial"/>
                <w:sz w:val="18"/>
                <w:szCs w:val="18"/>
                <w:color w:val="auto"/>
                <w:w w:val="98"/>
              </w:rPr>
              <w:t>CONFIDENTIAL</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350"/>
        </w:trPr>
        <w:tc>
          <w:tcPr>
            <w:tcW w:w="194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1"/>
              </w:rPr>
              <w:t>or the External Laboratories of the Forty Seven Information, Forty Seven Background Intellectual Property, Forty Seven Materials,</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2"/>
              </w:rPr>
              <w:t>New Forty Seven Intellectual Property, and/or any and all information, materials and other intellectual Property supplied by or on</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4"/>
              </w:rPr>
              <w:t>behalf of the Forty Seven (excluding Lonza’s host cell lines)) infringe any Intellectual Property rights of a Third Party except, in</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1"/>
              </w:rPr>
              <w:t>each case, to the extent that such claims resulted from the negligence, intentional misconduct or breach of this Agreement by any</w:t>
            </w:r>
          </w:p>
        </w:tc>
      </w:tr>
      <w:tr>
        <w:trPr>
          <w:trHeight w:val="230"/>
        </w:trPr>
        <w:tc>
          <w:tcPr>
            <w:tcW w:w="1940" w:type="dxa"/>
            <w:vAlign w:val="bottom"/>
          </w:tcPr>
          <w:p>
            <w:pPr>
              <w:spacing w:after="0"/>
              <w:rPr>
                <w:sz w:val="20"/>
                <w:szCs w:val="20"/>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Forty Seven Indemnitees.</w:t>
            </w:r>
          </w:p>
        </w:tc>
      </w:tr>
      <w:tr>
        <w:trPr>
          <w:trHeight w:val="297"/>
        </w:trPr>
        <w:tc>
          <w:tcPr>
            <w:tcW w:w="1940" w:type="dxa"/>
            <w:vAlign w:val="bottom"/>
          </w:tcPr>
          <w:p>
            <w:pPr>
              <w:jc w:val="right"/>
              <w:ind w:right="630"/>
              <w:spacing w:after="0"/>
              <w:rPr>
                <w:sz w:val="20"/>
                <w:szCs w:val="20"/>
                <w:color w:val="auto"/>
              </w:rPr>
            </w:pPr>
            <w:r>
              <w:rPr>
                <w:rFonts w:ascii="Arial" w:cs="Arial" w:eastAsia="Arial" w:hAnsi="Arial"/>
                <w:sz w:val="18"/>
                <w:szCs w:val="18"/>
                <w:color w:val="auto"/>
              </w:rPr>
              <w:t>12.2</w:t>
            </w:r>
          </w:p>
        </w:tc>
        <w:tc>
          <w:tcPr>
            <w:tcW w:w="9440" w:type="dxa"/>
            <w:vAlign w:val="bottom"/>
            <w:gridSpan w:val="4"/>
          </w:tcPr>
          <w:p>
            <w:pPr>
              <w:spacing w:after="0"/>
              <w:rPr>
                <w:sz w:val="20"/>
                <w:szCs w:val="20"/>
                <w:color w:val="auto"/>
              </w:rPr>
            </w:pPr>
            <w:r>
              <w:rPr>
                <w:rFonts w:ascii="Arial" w:cs="Arial" w:eastAsia="Arial" w:hAnsi="Arial"/>
                <w:sz w:val="18"/>
                <w:szCs w:val="18"/>
                <w:color w:val="auto"/>
                <w:w w:val="94"/>
              </w:rPr>
              <w:t>Indemnification by Forty Seven. Forty Seven shall indemnify Lonza, its Affiliates, and their respective officers, employees and</w:t>
            </w:r>
          </w:p>
        </w:tc>
      </w:tr>
      <w:tr>
        <w:trPr>
          <w:trHeight w:val="20"/>
        </w:trPr>
        <w:tc>
          <w:tcPr>
            <w:tcW w:w="19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0"/>
              </w:rPr>
              <w:t>agents (“Lonza Indemnitees”) from and against any loss, damage, costs, liability and expenses (including reasonable attorney fees)</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4"/>
              </w:rPr>
              <w:t>that any Lonza Indemnitees may suffer as a result of any Third Party claim arising directly out of (i) any material breach of the</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3"/>
              </w:rPr>
              <w:t>warranties given by Forty Seven in Clause 11.2 above; and/or (ii) any claims alleging that the performance of Services infringes</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3"/>
              </w:rPr>
              <w:t>any Intellectual Property rights of third parties; and/or (iii) the manufacture, use, sale, or distribution by or on behalf of any Forty</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2"/>
              </w:rPr>
              <w:t>Seven Indemnitee of any Product, including any claims of product liability; and/or (iv) the use by Lonza, any of Lonza’s Affiliates,</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6"/>
              </w:rPr>
              <w:t>or any External Laboratory in accordance with this Agreement of any Forty Seven Information, Forty Seven Materials, Forty</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7"/>
              </w:rPr>
              <w:t>Seven Background Intellectual Property, New Forty Seven intellectual Property and/or any other information, materials or</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5"/>
              </w:rPr>
              <w:t>Intellectual Property provided by or on behalf of Forty Seven for the purposes of this Agreement (excluding Lonza’s host cell</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2"/>
              </w:rPr>
              <w:t>lines); except, in, each case, to the extent that such claims resulted from the negligence, intentional misconduct or breach of this</w:t>
            </w:r>
          </w:p>
        </w:tc>
      </w:tr>
      <w:tr>
        <w:trPr>
          <w:trHeight w:val="230"/>
        </w:trPr>
        <w:tc>
          <w:tcPr>
            <w:tcW w:w="1940" w:type="dxa"/>
            <w:vAlign w:val="bottom"/>
          </w:tcPr>
          <w:p>
            <w:pPr>
              <w:spacing w:after="0"/>
              <w:rPr>
                <w:sz w:val="20"/>
                <w:szCs w:val="20"/>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Agreement by any Lonza Indemnitees.</w:t>
            </w:r>
          </w:p>
        </w:tc>
      </w:tr>
      <w:tr>
        <w:trPr>
          <w:trHeight w:val="297"/>
        </w:trPr>
        <w:tc>
          <w:tcPr>
            <w:tcW w:w="1940" w:type="dxa"/>
            <w:vAlign w:val="bottom"/>
          </w:tcPr>
          <w:p>
            <w:pPr>
              <w:jc w:val="right"/>
              <w:ind w:right="630"/>
              <w:spacing w:after="0"/>
              <w:rPr>
                <w:sz w:val="20"/>
                <w:szCs w:val="20"/>
                <w:color w:val="auto"/>
              </w:rPr>
            </w:pPr>
            <w:r>
              <w:rPr>
                <w:rFonts w:ascii="Arial" w:cs="Arial" w:eastAsia="Arial" w:hAnsi="Arial"/>
                <w:sz w:val="18"/>
                <w:szCs w:val="18"/>
                <w:color w:val="auto"/>
              </w:rPr>
              <w:t>12.3</w:t>
            </w:r>
          </w:p>
        </w:tc>
        <w:tc>
          <w:tcPr>
            <w:tcW w:w="9440" w:type="dxa"/>
            <w:vAlign w:val="bottom"/>
            <w:gridSpan w:val="4"/>
          </w:tcPr>
          <w:p>
            <w:pPr>
              <w:spacing w:after="0"/>
              <w:rPr>
                <w:sz w:val="20"/>
                <w:szCs w:val="20"/>
                <w:color w:val="auto"/>
              </w:rPr>
            </w:pPr>
            <w:r>
              <w:rPr>
                <w:rFonts w:ascii="Arial" w:cs="Arial" w:eastAsia="Arial" w:hAnsi="Arial"/>
                <w:sz w:val="18"/>
                <w:szCs w:val="18"/>
                <w:color w:val="auto"/>
                <w:w w:val="93"/>
              </w:rPr>
              <w:t>Indemnification Procedure. If the Party to be indemnified intends to claim indemnification under this Clause 12, it shall promptly</w:t>
            </w:r>
          </w:p>
        </w:tc>
      </w:tr>
      <w:tr>
        <w:trPr>
          <w:trHeight w:val="20"/>
        </w:trPr>
        <w:tc>
          <w:tcPr>
            <w:tcW w:w="19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2"/>
              </w:rPr>
              <w:t>notify the Indemnifying Party in writing of such claim. The indemnitor shall have the right to control the defense and/or settlement</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3"/>
              </w:rPr>
              <w:t>thereof; provided, however, that the Indemnitor must obtain the prior written consent of the Indemnitee (not to be unreasonably</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1"/>
              </w:rPr>
              <w:t>withheld) before entering into any settlement of such Third Party claim that admits fault, wrongdoing or damages (to the extent not</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1"/>
              </w:rPr>
              <w:t>readily payable by the indemnitor at the time of settlement) and any indemnitee shall have the right to retain its own counsel at its</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0"/>
              </w:rPr>
              <w:t>own expense. The Indemnitee, its employees and agents, shall reasonably cooperate with the indemnitor in the investigation of any</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8"/>
              </w:rPr>
              <w:t>liability covered by this Clause 12. The failure to deliver prompt written notice to the indemnitor of any claim, to the extent</w:t>
            </w:r>
          </w:p>
        </w:tc>
      </w:tr>
      <w:tr>
        <w:trPr>
          <w:trHeight w:val="230"/>
        </w:trPr>
        <w:tc>
          <w:tcPr>
            <w:tcW w:w="1940" w:type="dxa"/>
            <w:vAlign w:val="bottom"/>
          </w:tcPr>
          <w:p>
            <w:pPr>
              <w:spacing w:after="0"/>
              <w:rPr>
                <w:sz w:val="20"/>
                <w:szCs w:val="20"/>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2"/>
              </w:rPr>
              <w:t>prejudicial to its ability to defend such claim, shall relieve the indemnitor of any obligation to the indemnitee under this Clause 12.</w:t>
            </w:r>
          </w:p>
        </w:tc>
      </w:tr>
      <w:tr>
        <w:trPr>
          <w:trHeight w:val="297"/>
        </w:trPr>
        <w:tc>
          <w:tcPr>
            <w:tcW w:w="1940" w:type="dxa"/>
            <w:vAlign w:val="bottom"/>
          </w:tcPr>
          <w:p>
            <w:pPr>
              <w:jc w:val="right"/>
              <w:ind w:right="630"/>
              <w:spacing w:after="0"/>
              <w:rPr>
                <w:sz w:val="20"/>
                <w:szCs w:val="20"/>
                <w:color w:val="auto"/>
              </w:rPr>
            </w:pPr>
            <w:r>
              <w:rPr>
                <w:rFonts w:ascii="Arial" w:cs="Arial" w:eastAsia="Arial" w:hAnsi="Arial"/>
                <w:sz w:val="18"/>
                <w:szCs w:val="18"/>
                <w:color w:val="auto"/>
              </w:rPr>
              <w:t>12.4</w:t>
            </w:r>
          </w:p>
        </w:tc>
        <w:tc>
          <w:tcPr>
            <w:tcW w:w="9440" w:type="dxa"/>
            <w:vAlign w:val="bottom"/>
            <w:gridSpan w:val="4"/>
          </w:tcPr>
          <w:p>
            <w:pPr>
              <w:spacing w:after="0"/>
              <w:rPr>
                <w:sz w:val="20"/>
                <w:szCs w:val="20"/>
                <w:color w:val="auto"/>
              </w:rPr>
            </w:pPr>
            <w:r>
              <w:rPr>
                <w:rFonts w:ascii="Arial" w:cs="Arial" w:eastAsia="Arial" w:hAnsi="Arial"/>
                <w:sz w:val="18"/>
                <w:szCs w:val="18"/>
                <w:color w:val="auto"/>
                <w:w w:val="97"/>
              </w:rPr>
              <w:t>DISCLAIMER OF CERTAIN DAMAGES. SUBJECT ALWAYS TO CLAUSE 12.6, IN NO EVENT SHALL EITHER PARTY</w:t>
            </w:r>
          </w:p>
        </w:tc>
      </w:tr>
      <w:tr>
        <w:trPr>
          <w:trHeight w:val="20"/>
        </w:trPr>
        <w:tc>
          <w:tcPr>
            <w:tcW w:w="194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OR ANY OF ITS AFFILIATES BE LIABLE TO THE OTHER PARTY AND/OR ANY OF THE OTHER PARTY’S</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AFFILIATES AND/OR ANY OF THE OTHER PARTY’S INDEMNITEES (IN EACH CASE WHETHER IN CONTRACT,</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5"/>
              </w:rPr>
              <w:t>TORT, NEGLIGENCE, BREACH OF STATUTORY DUTY OR OTHERWISE, HOWSOEVER ARISING) FOR ANY LOSS OF</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PROFITS, LOSS OF REVENUES, LOSS OF GOODWILL, LOSS OF REPUTATION, OR FOR ANY INCIDENTAL,</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9"/>
              </w:rPr>
              <w:t>INDIRECT, SPECIAL, PUNITIVE OR CONSEQUENTIAL LOSSES OR DAMAGES, ARISING FROM OR RELATED TO</w:t>
            </w:r>
          </w:p>
        </w:tc>
      </w:tr>
      <w:tr>
        <w:trPr>
          <w:trHeight w:val="216"/>
        </w:trPr>
        <w:tc>
          <w:tcPr>
            <w:tcW w:w="194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THIS AGREEMENT, PROVIDED THAT THIS SHALL NOT PRECLUDE ANY CLAIM BY LONZA FOR ANY UNPAID</w:t>
            </w:r>
          </w:p>
        </w:tc>
      </w:tr>
      <w:tr>
        <w:trPr>
          <w:trHeight w:val="230"/>
        </w:trPr>
        <w:tc>
          <w:tcPr>
            <w:tcW w:w="1940" w:type="dxa"/>
            <w:vAlign w:val="bottom"/>
          </w:tcPr>
          <w:p>
            <w:pPr>
              <w:spacing w:after="0"/>
              <w:rPr>
                <w:sz w:val="20"/>
                <w:szCs w:val="20"/>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INVOICES.</w:t>
            </w:r>
          </w:p>
        </w:tc>
      </w:tr>
      <w:tr>
        <w:trPr>
          <w:trHeight w:val="297"/>
        </w:trPr>
        <w:tc>
          <w:tcPr>
            <w:tcW w:w="1940" w:type="dxa"/>
            <w:vAlign w:val="bottom"/>
          </w:tcPr>
          <w:p>
            <w:pPr>
              <w:jc w:val="right"/>
              <w:ind w:right="630"/>
              <w:spacing w:after="0"/>
              <w:rPr>
                <w:sz w:val="20"/>
                <w:szCs w:val="20"/>
                <w:color w:val="auto"/>
              </w:rPr>
            </w:pPr>
            <w:r>
              <w:rPr>
                <w:rFonts w:ascii="Arial" w:cs="Arial" w:eastAsia="Arial" w:hAnsi="Arial"/>
                <w:sz w:val="18"/>
                <w:szCs w:val="18"/>
                <w:color w:val="auto"/>
              </w:rPr>
              <w:t>12.5</w:t>
            </w:r>
          </w:p>
        </w:tc>
        <w:tc>
          <w:tcPr>
            <w:tcW w:w="9440" w:type="dxa"/>
            <w:vAlign w:val="bottom"/>
            <w:gridSpan w:val="4"/>
          </w:tcPr>
          <w:p>
            <w:pPr>
              <w:spacing w:after="0"/>
              <w:rPr>
                <w:sz w:val="20"/>
                <w:szCs w:val="20"/>
                <w:color w:val="auto"/>
              </w:rPr>
            </w:pPr>
            <w:r>
              <w:rPr>
                <w:rFonts w:ascii="Arial" w:cs="Arial" w:eastAsia="Arial" w:hAnsi="Arial"/>
                <w:sz w:val="18"/>
                <w:szCs w:val="18"/>
                <w:color w:val="auto"/>
              </w:rPr>
              <w:t>LIMITATION OF LIABILITY. SUBJECT ALWAYS TO CLAUSE 12.6, THE AGGREGATE LIABILITY OF EACH PARTY</w:t>
            </w:r>
          </w:p>
        </w:tc>
      </w:tr>
      <w:tr>
        <w:trPr>
          <w:trHeight w:val="20"/>
        </w:trPr>
        <w:tc>
          <w:tcPr>
            <w:tcW w:w="194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r>
      <w:tr>
        <w:trPr>
          <w:trHeight w:val="237"/>
        </w:trPr>
        <w:tc>
          <w:tcPr>
            <w:tcW w:w="1940" w:type="dxa"/>
            <w:vAlign w:val="bottom"/>
          </w:tcPr>
          <w:p>
            <w:pPr>
              <w:spacing w:after="0"/>
              <w:rPr>
                <w:sz w:val="20"/>
                <w:szCs w:val="20"/>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w w:val="98"/>
              </w:rPr>
              <w:t>AND ITS AFFILIATES TO THE OTHER PARTY AND ITS AFFILIATES WITH RESPECT TO ANY CLAIM UNDER OR IN</w:t>
            </w:r>
          </w:p>
        </w:tc>
      </w:tr>
    </w:tbl>
    <w:p>
      <w:pPr>
        <w:ind w:left="19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4">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RELATION TO THIS AGREEMENT (WHETHER IN CONTRACT, TORT, NEGLIGENCE, BREACH OF STATUTORY DUTY, UNDER ANY INDEMNITY OR OTHERWISE HOWSOEVER ARISING) SHALL NOT EXCEED, IN THE AGGREGATE, THREE TIMES THE TOTAL AMOUNTS PAID BY FORTY SEVEN TO LONZA UNDER THIS AGREEMENT IN THE TWELVE (12) MONTH PERIOD PRIOR TO SUCH CLAIM.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117" w:lineRule="exact"/>
        <w:rPr>
          <w:sz w:val="20"/>
          <w:szCs w:val="20"/>
          <w:color w:val="auto"/>
        </w:rPr>
      </w:pPr>
    </w:p>
    <w:p>
      <w:pPr>
        <w:ind w:right="720" w:firstLine="8"/>
        <w:spacing w:after="0" w:line="277" w:lineRule="auto"/>
        <w:tabs>
          <w:tab w:leader="none" w:pos="255" w:val="left"/>
        </w:tabs>
        <w:numPr>
          <w:ilvl w:val="0"/>
          <w:numId w:val="54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881" w:right="259" w:bottom="1440" w:gutter="0" w:footer="0" w:header="0"/>
        </w:sectPr>
      </w:pPr>
    </w:p>
    <w:bookmarkStart w:id="456" w:name="page457"/>
    <w:bookmarkEnd w:id="456"/>
    <w:tbl>
      <w:tblPr>
        <w:tblLayout w:type="fixed"/>
        <w:tblInd w:w="0" w:type="dxa"/>
        <w:tblCellMar>
          <w:top w:w="0" w:type="dxa"/>
          <w:left w:w="0" w:type="dxa"/>
          <w:bottom w:w="0" w:type="dxa"/>
          <w:right w:w="0" w:type="dxa"/>
        </w:tblCellMar>
      </w:tblPr>
      <w:tr>
        <w:trPr>
          <w:trHeight w:val="230"/>
        </w:trPr>
        <w:tc>
          <w:tcPr>
            <w:tcW w:w="1640" w:type="dxa"/>
            <w:vAlign w:val="bottom"/>
            <w:gridSpan w:val="2"/>
          </w:tcPr>
          <w:p>
            <w:pPr>
              <w:spacing w:after="0"/>
              <w:rPr>
                <w:sz w:val="20"/>
                <w:szCs w:val="20"/>
                <w:color w:val="auto"/>
              </w:rPr>
            </w:pPr>
            <w:r>
              <w:rPr>
                <w:rFonts w:ascii="Arial" w:cs="Arial" w:eastAsia="Arial" w:hAnsi="Arial"/>
                <w:sz w:val="18"/>
                <w:szCs w:val="18"/>
                <w:color w:val="auto"/>
              </w:rPr>
              <w:t>CONFIDENTIAL</w:t>
            </w:r>
          </w:p>
        </w:tc>
        <w:tc>
          <w:tcPr>
            <w:tcW w:w="1040" w:type="dxa"/>
            <w:vAlign w:val="bottom"/>
          </w:tcPr>
          <w:p>
            <w:pPr>
              <w:spacing w:after="0"/>
              <w:rPr>
                <w:sz w:val="20"/>
                <w:szCs w:val="20"/>
                <w:color w:val="auto"/>
              </w:rPr>
            </w:pPr>
          </w:p>
        </w:tc>
        <w:tc>
          <w:tcPr>
            <w:tcW w:w="8740" w:type="dxa"/>
            <w:vAlign w:val="bottom"/>
          </w:tcPr>
          <w:p>
            <w:pPr>
              <w:spacing w:after="0"/>
              <w:rPr>
                <w:sz w:val="20"/>
                <w:szCs w:val="20"/>
                <w:color w:val="auto"/>
              </w:rPr>
            </w:pPr>
          </w:p>
        </w:tc>
      </w:tr>
      <w:tr>
        <w:trPr>
          <w:trHeight w:val="350"/>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12.6</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7"/>
              </w:rPr>
              <w:t>NOTHING IN THIS AGREEMENT SHALL OPERATE SO AS TO EXCLUDE OR IN ANY WAY LIMIT A PARTY’S, OR ITS</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AFFILIATE’S, LIABILITY (i) FOR FRAUD, INTENTIONAL MISCONDUCT OR GROSS NEGLIGENCE, OR (ii) FOR</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8"/>
              </w:rPr>
              <w:t>DEATH OR PERSONAL INJURY CAUSED BY ITS FRAUD, INTENTIONAL MISCONDUCT OR GROSS NEGLIGENCE</w:t>
            </w:r>
          </w:p>
        </w:tc>
      </w:tr>
      <w:tr>
        <w:trPr>
          <w:trHeight w:val="230"/>
        </w:trPr>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OR (iii) FOR ANY OTHER LIABILITY THAT MAY NOT BE EXCLUDED OR LIMITED AS A MATTER OF LAW.</w:t>
            </w:r>
          </w:p>
        </w:tc>
      </w:tr>
      <w:tr>
        <w:trPr>
          <w:trHeight w:val="581"/>
        </w:trPr>
        <w:tc>
          <w:tcPr>
            <w:tcW w:w="560" w:type="dxa"/>
            <w:vAlign w:val="bottom"/>
          </w:tcPr>
          <w:p>
            <w:pPr>
              <w:spacing w:after="0"/>
              <w:rPr>
                <w:sz w:val="20"/>
                <w:szCs w:val="20"/>
                <w:color w:val="auto"/>
              </w:rPr>
            </w:pPr>
            <w:r>
              <w:rPr>
                <w:rFonts w:ascii="Arial" w:cs="Arial" w:eastAsia="Arial" w:hAnsi="Arial"/>
                <w:sz w:val="18"/>
                <w:szCs w:val="18"/>
                <w:b w:val="1"/>
                <w:bCs w:val="1"/>
                <w:color w:val="auto"/>
              </w:rPr>
              <w:t>13</w:t>
            </w:r>
          </w:p>
        </w:tc>
        <w:tc>
          <w:tcPr>
            <w:tcW w:w="2120" w:type="dxa"/>
            <w:vAlign w:val="bottom"/>
            <w:gridSpan w:val="2"/>
          </w:tcPr>
          <w:p>
            <w:pPr>
              <w:ind w:left="360"/>
              <w:spacing w:after="0"/>
              <w:rPr>
                <w:sz w:val="20"/>
                <w:szCs w:val="20"/>
                <w:color w:val="auto"/>
              </w:rPr>
            </w:pPr>
            <w:r>
              <w:rPr>
                <w:rFonts w:ascii="Arial" w:cs="Arial" w:eastAsia="Arial" w:hAnsi="Arial"/>
                <w:sz w:val="18"/>
                <w:szCs w:val="18"/>
                <w:b w:val="1"/>
                <w:bCs w:val="1"/>
                <w:color w:val="auto"/>
              </w:rPr>
              <w:t>Confidentiality</w:t>
            </w:r>
          </w:p>
        </w:tc>
        <w:tc>
          <w:tcPr>
            <w:tcW w:w="8740" w:type="dxa"/>
            <w:vAlign w:val="bottom"/>
          </w:tcPr>
          <w:p>
            <w:pPr>
              <w:spacing w:after="0"/>
              <w:rPr>
                <w:sz w:val="24"/>
                <w:szCs w:val="24"/>
                <w:color w:val="auto"/>
              </w:rPr>
            </w:pPr>
          </w:p>
        </w:tc>
      </w:tr>
      <w:tr>
        <w:trPr>
          <w:trHeight w:val="323"/>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13.1</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A Party receiving Confidential Information (the “Receiving Party”) agrees to strictly keep secret any and all Confidential</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6"/>
              </w:rPr>
              <w:t>Information received during the Term from or on behalf of the other Party (the “Disclosing Party”) as well as the terms of this</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1"/>
              </w:rPr>
              <w:t>Agreement using at least the same level of measures as it uses to protect its own Confidential Information, but in any case at least</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9"/>
              </w:rPr>
              <w:t>commercially reasonable and customary efforts. Confidential Information shall include information disclosed in any form</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6"/>
              </w:rPr>
              <w:t>including but not limited to in writing, orally, graphically or in electronic or other form to the Receiving Party, observed by the</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2"/>
              </w:rPr>
              <w:t>Receiving Party or its employees, agents, consultants, or representatives, or otherwise learned by the Receiving Party under this</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1"/>
              </w:rPr>
              <w:t>Agreement, which the Receiving Party knows or reasonably should know is confidential or proprietary. For the avoidance of doubt,</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7"/>
              </w:rPr>
              <w:t>Forty Seven shall be deemed the Disclosing Party with respect to Forty Seven Information and Lonza shall be deemed the</w:t>
            </w:r>
          </w:p>
        </w:tc>
      </w:tr>
      <w:tr>
        <w:trPr>
          <w:trHeight w:val="230"/>
        </w:trPr>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Disclosing Party with respect to Lonza information.</w:t>
            </w:r>
          </w:p>
        </w:tc>
      </w:tr>
      <w:tr>
        <w:trPr>
          <w:trHeight w:val="323"/>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13.2</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2"/>
              </w:rPr>
              <w:t>Notwithstanding the foregoing, Receiving Party may disclose to any courts and/or other authorities Confidential Information which</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1"/>
              </w:rPr>
              <w:t>is or will be required pursuant to applicable governmental or administrative or public law, rule, regulation or order. In such case the</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6"/>
              </w:rPr>
              <w:t>Party that received the Confidential Information will, to the extent legally permitted, inform the other Party promptly in writing</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6"/>
              </w:rPr>
              <w:t>and cooperate with the Disclosing Party in seeking to minimize the extent of Confidential Information which is required to be</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1"/>
              </w:rPr>
              <w:t>disclosed to the courts and/or authorities. If the Disclosing Party fails to obtain any protective order or other remedy, the Receiving</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5"/>
              </w:rPr>
              <w:t>Party shall furnish only that portion of the Confidential Information that is legally required to be disclosed and any Confidential</w:t>
            </w:r>
          </w:p>
        </w:tc>
      </w:tr>
      <w:tr>
        <w:trPr>
          <w:trHeight w:val="230"/>
        </w:trPr>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Information so disclosed shall be treated as confidential for all purposes other than such legally compelled disclosure.</w:t>
            </w:r>
          </w:p>
        </w:tc>
      </w:tr>
      <w:tr>
        <w:trPr>
          <w:trHeight w:val="338"/>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13.3</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The obligation to maintain confidentiality under this Agreement does not apply to Confidential Information, which:</w:t>
            </w:r>
          </w:p>
        </w:tc>
      </w:tr>
      <w:tr>
        <w:trPr>
          <w:trHeight w:val="338"/>
        </w:trPr>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13.3.1</w:t>
            </w:r>
          </w:p>
        </w:tc>
        <w:tc>
          <w:tcPr>
            <w:tcW w:w="8740" w:type="dxa"/>
            <w:vAlign w:val="bottom"/>
          </w:tcPr>
          <w:p>
            <w:pPr>
              <w:ind w:left="280"/>
              <w:spacing w:after="0"/>
              <w:rPr>
                <w:sz w:val="20"/>
                <w:szCs w:val="20"/>
                <w:color w:val="auto"/>
              </w:rPr>
            </w:pPr>
            <w:r>
              <w:rPr>
                <w:rFonts w:ascii="Arial" w:cs="Arial" w:eastAsia="Arial" w:hAnsi="Arial"/>
                <w:sz w:val="18"/>
                <w:szCs w:val="18"/>
                <w:color w:val="auto"/>
              </w:rPr>
              <w:t>at the time of disclosure was publicly available; or</w:t>
            </w:r>
          </w:p>
        </w:tc>
      </w:tr>
      <w:tr>
        <w:trPr>
          <w:trHeight w:val="338"/>
        </w:trPr>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13.3.2</w:t>
            </w:r>
          </w:p>
        </w:tc>
        <w:tc>
          <w:tcPr>
            <w:tcW w:w="8740" w:type="dxa"/>
            <w:vAlign w:val="bottom"/>
          </w:tcPr>
          <w:p>
            <w:pPr>
              <w:ind w:left="280"/>
              <w:spacing w:after="0"/>
              <w:rPr>
                <w:sz w:val="20"/>
                <w:szCs w:val="20"/>
                <w:color w:val="auto"/>
              </w:rPr>
            </w:pPr>
            <w:r>
              <w:rPr>
                <w:rFonts w:ascii="Arial" w:cs="Arial" w:eastAsia="Arial" w:hAnsi="Arial"/>
                <w:sz w:val="18"/>
                <w:szCs w:val="18"/>
                <w:color w:val="auto"/>
                <w:w w:val="95"/>
              </w:rPr>
              <w:t>is or becomes publicly available other than as a result of a breach of this Agreement by the Receiving Party; or</w:t>
            </w:r>
          </w:p>
        </w:tc>
      </w:tr>
      <w:tr>
        <w:trPr>
          <w:trHeight w:val="323"/>
        </w:trPr>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13.3.3</w:t>
            </w:r>
          </w:p>
        </w:tc>
        <w:tc>
          <w:tcPr>
            <w:tcW w:w="8740" w:type="dxa"/>
            <w:vAlign w:val="bottom"/>
          </w:tcPr>
          <w:p>
            <w:pPr>
              <w:ind w:left="280"/>
              <w:spacing w:after="0"/>
              <w:rPr>
                <w:sz w:val="20"/>
                <w:szCs w:val="20"/>
                <w:color w:val="auto"/>
              </w:rPr>
            </w:pPr>
            <w:r>
              <w:rPr>
                <w:rFonts w:ascii="Arial" w:cs="Arial" w:eastAsia="Arial" w:hAnsi="Arial"/>
                <w:sz w:val="18"/>
                <w:szCs w:val="18"/>
                <w:color w:val="auto"/>
                <w:w w:val="91"/>
              </w:rPr>
              <w:t>as the Receiving Party can establish, by competent proof, was rightfully in its possession at the time of disclosure by</w:t>
            </w:r>
          </w:p>
        </w:tc>
      </w:tr>
      <w:tr>
        <w:trPr>
          <w:trHeight w:val="216"/>
        </w:trPr>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w w:val="96"/>
              </w:rPr>
              <w:t>the Disclosing Party and had not been received from or on behalf of Disclosing Party (or anyone for whom it is</w:t>
            </w:r>
          </w:p>
        </w:tc>
      </w:tr>
      <w:tr>
        <w:trPr>
          <w:trHeight w:val="230"/>
        </w:trPr>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rPr>
              <w:t>responsible); or</w:t>
            </w:r>
          </w:p>
        </w:tc>
      </w:tr>
      <w:tr>
        <w:trPr>
          <w:trHeight w:val="365"/>
        </w:trPr>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40" w:type="dxa"/>
            <w:vAlign w:val="bottom"/>
          </w:tcPr>
          <w:p>
            <w:pPr>
              <w:ind w:left="2940"/>
              <w:spacing w:after="0"/>
              <w:rPr>
                <w:sz w:val="20"/>
                <w:szCs w:val="20"/>
                <w:color w:val="auto"/>
              </w:rPr>
            </w:pPr>
            <w:r>
              <w:rPr>
                <w:rFonts w:ascii="Arial" w:cs="Arial" w:eastAsia="Arial" w:hAnsi="Arial"/>
                <w:sz w:val="18"/>
                <w:szCs w:val="18"/>
                <w:color w:val="auto"/>
              </w:rPr>
              <w:t>22</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6">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r>
    </w:p>
    <w:p>
      <w:pPr>
        <w:ind w:right="740" w:firstLine="8"/>
        <w:spacing w:after="0" w:line="277" w:lineRule="auto"/>
        <w:tabs>
          <w:tab w:leader="none" w:pos="255" w:val="left"/>
        </w:tabs>
        <w:numPr>
          <w:ilvl w:val="0"/>
          <w:numId w:val="54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882" w:right="239" w:bottom="1440" w:gutter="0" w:footer="0" w:header="0"/>
        </w:sectPr>
      </w:pPr>
    </w:p>
    <w:bookmarkStart w:id="457" w:name="page458"/>
    <w:bookmarkEnd w:id="457"/>
    <w:tbl>
      <w:tblPr>
        <w:tblLayout w:type="fixed"/>
        <w:tblInd w:w="0" w:type="dxa"/>
        <w:tblCellMar>
          <w:top w:w="0" w:type="dxa"/>
          <w:left w:w="0" w:type="dxa"/>
          <w:bottom w:w="0" w:type="dxa"/>
          <w:right w:w="0" w:type="dxa"/>
        </w:tblCellMar>
      </w:tblPr>
      <w:tr>
        <w:trPr>
          <w:trHeight w:val="230"/>
        </w:trPr>
        <w:tc>
          <w:tcPr>
            <w:tcW w:w="1640" w:type="dxa"/>
            <w:vAlign w:val="bottom"/>
          </w:tcPr>
          <w:p>
            <w:pPr>
              <w:jc w:val="right"/>
              <w:ind w:right="230"/>
              <w:spacing w:after="0"/>
              <w:rPr>
                <w:sz w:val="20"/>
                <w:szCs w:val="20"/>
                <w:color w:val="auto"/>
              </w:rPr>
            </w:pPr>
            <w:r>
              <w:rPr>
                <w:rFonts w:ascii="Arial" w:cs="Arial" w:eastAsia="Arial" w:hAnsi="Arial"/>
                <w:sz w:val="18"/>
                <w:szCs w:val="18"/>
                <w:color w:val="auto"/>
                <w:w w:val="98"/>
              </w:rPr>
              <w:t>CONFIDENTIAL</w:t>
            </w:r>
          </w:p>
        </w:tc>
        <w:tc>
          <w:tcPr>
            <w:tcW w:w="1040" w:type="dxa"/>
            <w:vAlign w:val="bottom"/>
          </w:tcPr>
          <w:p>
            <w:pPr>
              <w:spacing w:after="0"/>
              <w:rPr>
                <w:sz w:val="20"/>
                <w:szCs w:val="20"/>
                <w:color w:val="auto"/>
              </w:rPr>
            </w:pPr>
          </w:p>
        </w:tc>
        <w:tc>
          <w:tcPr>
            <w:tcW w:w="8740" w:type="dxa"/>
            <w:vAlign w:val="bottom"/>
          </w:tcPr>
          <w:p>
            <w:pPr>
              <w:spacing w:after="0"/>
              <w:rPr>
                <w:sz w:val="20"/>
                <w:szCs w:val="20"/>
                <w:color w:val="auto"/>
              </w:rPr>
            </w:pPr>
          </w:p>
        </w:tc>
      </w:tr>
      <w:tr>
        <w:trPr>
          <w:trHeight w:val="350"/>
        </w:trPr>
        <w:tc>
          <w:tcPr>
            <w:tcW w:w="164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13.3.4</w:t>
            </w:r>
          </w:p>
        </w:tc>
        <w:tc>
          <w:tcPr>
            <w:tcW w:w="8740" w:type="dxa"/>
            <w:vAlign w:val="bottom"/>
          </w:tcPr>
          <w:p>
            <w:pPr>
              <w:ind w:left="280"/>
              <w:spacing w:after="0"/>
              <w:rPr>
                <w:sz w:val="20"/>
                <w:szCs w:val="20"/>
                <w:color w:val="auto"/>
              </w:rPr>
            </w:pPr>
            <w:r>
              <w:rPr>
                <w:rFonts w:ascii="Arial" w:cs="Arial" w:eastAsia="Arial" w:hAnsi="Arial"/>
                <w:sz w:val="18"/>
                <w:szCs w:val="18"/>
                <w:color w:val="auto"/>
                <w:w w:val="92"/>
              </w:rPr>
              <w:t>is supplied to a Party by a Third Party which was not in breach of an obligation of confidentiality to Disclosing Party</w:t>
            </w:r>
          </w:p>
        </w:tc>
      </w:tr>
      <w:tr>
        <w:trPr>
          <w:trHeight w:val="230"/>
        </w:trPr>
        <w:tc>
          <w:tcPr>
            <w:tcW w:w="1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rPr>
              <w:t>or any other party; or</w:t>
            </w:r>
          </w:p>
        </w:tc>
      </w:tr>
      <w:tr>
        <w:trPr>
          <w:trHeight w:val="323"/>
        </w:trPr>
        <w:tc>
          <w:tcPr>
            <w:tcW w:w="164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13.3.5</w:t>
            </w:r>
          </w:p>
        </w:tc>
        <w:tc>
          <w:tcPr>
            <w:tcW w:w="8740" w:type="dxa"/>
            <w:vAlign w:val="bottom"/>
          </w:tcPr>
          <w:p>
            <w:pPr>
              <w:ind w:left="280"/>
              <w:spacing w:after="0"/>
              <w:rPr>
                <w:sz w:val="20"/>
                <w:szCs w:val="20"/>
                <w:color w:val="auto"/>
              </w:rPr>
            </w:pPr>
            <w:r>
              <w:rPr>
                <w:rFonts w:ascii="Arial" w:cs="Arial" w:eastAsia="Arial" w:hAnsi="Arial"/>
                <w:sz w:val="18"/>
                <w:szCs w:val="18"/>
                <w:color w:val="auto"/>
                <w:w w:val="99"/>
              </w:rPr>
              <w:t>is developed by the Receiving Party independently from and without use of or reference to the Confidential</w:t>
            </w:r>
          </w:p>
        </w:tc>
      </w:tr>
      <w:tr>
        <w:trPr>
          <w:trHeight w:val="230"/>
        </w:trPr>
        <w:tc>
          <w:tcPr>
            <w:tcW w:w="1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740" w:type="dxa"/>
            <w:vAlign w:val="bottom"/>
          </w:tcPr>
          <w:p>
            <w:pPr>
              <w:ind w:left="280"/>
              <w:spacing w:after="0"/>
              <w:rPr>
                <w:sz w:val="20"/>
                <w:szCs w:val="20"/>
                <w:color w:val="auto"/>
              </w:rPr>
            </w:pPr>
            <w:r>
              <w:rPr>
                <w:rFonts w:ascii="Arial" w:cs="Arial" w:eastAsia="Arial" w:hAnsi="Arial"/>
                <w:sz w:val="18"/>
                <w:szCs w:val="18"/>
                <w:color w:val="auto"/>
              </w:rPr>
              <w:t>Information, as evidenced by contemporaneous written records.</w:t>
            </w:r>
          </w:p>
        </w:tc>
      </w:tr>
      <w:tr>
        <w:trPr>
          <w:trHeight w:val="323"/>
        </w:trPr>
        <w:tc>
          <w:tcPr>
            <w:tcW w:w="1640" w:type="dxa"/>
            <w:vAlign w:val="bottom"/>
          </w:tcPr>
          <w:p>
            <w:pPr>
              <w:jc w:val="right"/>
              <w:ind w:right="330"/>
              <w:spacing w:after="0"/>
              <w:rPr>
                <w:sz w:val="20"/>
                <w:szCs w:val="20"/>
                <w:color w:val="auto"/>
              </w:rPr>
            </w:pPr>
            <w:r>
              <w:rPr>
                <w:rFonts w:ascii="Arial" w:cs="Arial" w:eastAsia="Arial" w:hAnsi="Arial"/>
                <w:sz w:val="18"/>
                <w:szCs w:val="18"/>
                <w:color w:val="auto"/>
              </w:rPr>
              <w:t>13.4</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5"/>
              </w:rPr>
              <w:t>The Receiving Party will use Confidential Information of the Disclosing Party only for the purposes of exercising its rights and</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fulfilling its obligations under this Agreement and will not otherwise make any use of the Confidential Information of the</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2"/>
              </w:rPr>
              <w:t>Disclosing Party for its own separate benefit or the benefit of any Third Party including, without limitation, with respect to research</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3"/>
              </w:rPr>
              <w:t>or product development or any reverse engineering or similar testing. The Receiving Party agrees to return or destroy promptly</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4"/>
              </w:rPr>
              <w:t>(and certify such destruction) on Disclosing Party’s request all Confidential Information of the Disclosing Party, except that one</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5"/>
              </w:rPr>
              <w:t>copy of such Confidential Information may be kept by the Receiving Party in its confidential files for record keeping purposes</w:t>
            </w:r>
          </w:p>
        </w:tc>
      </w:tr>
      <w:tr>
        <w:trPr>
          <w:trHeight w:val="230"/>
        </w:trPr>
        <w:tc>
          <w:tcPr>
            <w:tcW w:w="1640" w:type="dxa"/>
            <w:vAlign w:val="bottom"/>
          </w:tcPr>
          <w:p>
            <w:pPr>
              <w:spacing w:after="0"/>
              <w:rPr>
                <w:sz w:val="20"/>
                <w:szCs w:val="20"/>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only.</w:t>
            </w:r>
          </w:p>
        </w:tc>
        <w:tc>
          <w:tcPr>
            <w:tcW w:w="8740" w:type="dxa"/>
            <w:vAlign w:val="bottom"/>
          </w:tcPr>
          <w:p>
            <w:pPr>
              <w:spacing w:after="0"/>
              <w:rPr>
                <w:sz w:val="20"/>
                <w:szCs w:val="20"/>
                <w:color w:val="auto"/>
              </w:rPr>
            </w:pPr>
          </w:p>
        </w:tc>
      </w:tr>
      <w:tr>
        <w:trPr>
          <w:trHeight w:val="323"/>
        </w:trPr>
        <w:tc>
          <w:tcPr>
            <w:tcW w:w="1640" w:type="dxa"/>
            <w:vAlign w:val="bottom"/>
          </w:tcPr>
          <w:p>
            <w:pPr>
              <w:jc w:val="right"/>
              <w:ind w:right="330"/>
              <w:spacing w:after="0"/>
              <w:rPr>
                <w:sz w:val="20"/>
                <w:szCs w:val="20"/>
                <w:color w:val="auto"/>
              </w:rPr>
            </w:pPr>
            <w:r>
              <w:rPr>
                <w:rFonts w:ascii="Arial" w:cs="Arial" w:eastAsia="Arial" w:hAnsi="Arial"/>
                <w:sz w:val="18"/>
                <w:szCs w:val="18"/>
                <w:color w:val="auto"/>
              </w:rPr>
              <w:t>13.5</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6"/>
              </w:rPr>
              <w:t>Each Party will restrict the disclosure of Confidential Information of the other Party to such officers, employees, professional</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3"/>
              </w:rPr>
              <w:t>advisers, consultants, and actual finance providers of itself and its Affiliates (“Representatives”) who have been informed of the</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6"/>
              </w:rPr>
              <w:t>confidential nature of the Confidential Information and who have a need to know such Confidential Information solely for the</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5"/>
              </w:rPr>
              <w:t>purpose of this Agreement; provided that each Party may disclose the terms of this Agreement to potential finance-providers,</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6"/>
              </w:rPr>
              <w:t>acquirers and sublicensees in connection with an applicable financing or acquisition, of or sublicense by such Party. Prior to</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4"/>
              </w:rPr>
              <w:t>disclosure to such persons, the Party in receipt of the Confidential Information shall bind its and its Affiliates’ Representatives,</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1"/>
              </w:rPr>
              <w:t>potential finance provider, potential acquirer and/or potential sublicensee (as applicable) to confidentiality and non-use obligations</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2"/>
              </w:rPr>
              <w:t>no less stringent than those set forth herein and shall be fully responsible and liable for all acts and omissions of such persons in</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3"/>
              </w:rPr>
              <w:t>violation of this Clause 13. The Receiving Party shall notify the Disclosing Party as promptly as practicable of any unauthorized</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2"/>
              </w:rPr>
              <w:t>use or disclosure of the Confidential Information. Lonza may disclose Forty Seven’s Confidential Information to Lonza’s Affiliates</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6"/>
              </w:rPr>
              <w:t>and the External Laboratories, in each case who have a need to know such Confidential Information for the purposes of this</w:t>
            </w:r>
          </w:p>
        </w:tc>
      </w:tr>
      <w:tr>
        <w:trPr>
          <w:trHeight w:val="230"/>
        </w:trPr>
        <w:tc>
          <w:tcPr>
            <w:tcW w:w="1640" w:type="dxa"/>
            <w:vAlign w:val="bottom"/>
          </w:tcPr>
          <w:p>
            <w:pPr>
              <w:spacing w:after="0"/>
              <w:rPr>
                <w:sz w:val="20"/>
                <w:szCs w:val="20"/>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4"/>
              </w:rPr>
              <w:t>Agreement and who are bound by written confidentiality and non-use obligations no less protective than those set forth herein.</w:t>
            </w:r>
          </w:p>
        </w:tc>
      </w:tr>
      <w:tr>
        <w:trPr>
          <w:trHeight w:val="323"/>
        </w:trPr>
        <w:tc>
          <w:tcPr>
            <w:tcW w:w="1640" w:type="dxa"/>
            <w:vAlign w:val="bottom"/>
          </w:tcPr>
          <w:p>
            <w:pPr>
              <w:jc w:val="right"/>
              <w:ind w:right="330"/>
              <w:spacing w:after="0"/>
              <w:rPr>
                <w:sz w:val="20"/>
                <w:szCs w:val="20"/>
                <w:color w:val="auto"/>
              </w:rPr>
            </w:pPr>
            <w:r>
              <w:rPr>
                <w:rFonts w:ascii="Arial" w:cs="Arial" w:eastAsia="Arial" w:hAnsi="Arial"/>
                <w:sz w:val="18"/>
                <w:szCs w:val="18"/>
                <w:color w:val="auto"/>
              </w:rPr>
              <w:t>13.6</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2"/>
              </w:rPr>
              <w:t>The Receiving Party shall at any time be fully liable for any and all breaches of the confidentiality obligations in this Clause 13 by</w:t>
            </w:r>
          </w:p>
        </w:tc>
      </w:tr>
      <w:tr>
        <w:trPr>
          <w:trHeight w:val="230"/>
        </w:trPr>
        <w:tc>
          <w:tcPr>
            <w:tcW w:w="1640" w:type="dxa"/>
            <w:vAlign w:val="bottom"/>
          </w:tcPr>
          <w:p>
            <w:pPr>
              <w:spacing w:after="0"/>
              <w:rPr>
                <w:sz w:val="20"/>
                <w:szCs w:val="20"/>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any of its Affiliates or the employees, consultants and representatives of itself or its Affiliates</w:t>
            </w:r>
          </w:p>
        </w:tc>
      </w:tr>
      <w:tr>
        <w:trPr>
          <w:trHeight w:val="323"/>
        </w:trPr>
        <w:tc>
          <w:tcPr>
            <w:tcW w:w="1640" w:type="dxa"/>
            <w:vAlign w:val="bottom"/>
          </w:tcPr>
          <w:p>
            <w:pPr>
              <w:jc w:val="right"/>
              <w:ind w:right="330"/>
              <w:spacing w:after="0"/>
              <w:rPr>
                <w:sz w:val="20"/>
                <w:szCs w:val="20"/>
                <w:color w:val="auto"/>
              </w:rPr>
            </w:pPr>
            <w:r>
              <w:rPr>
                <w:rFonts w:ascii="Arial" w:cs="Arial" w:eastAsia="Arial" w:hAnsi="Arial"/>
                <w:sz w:val="18"/>
                <w:szCs w:val="18"/>
                <w:color w:val="auto"/>
              </w:rPr>
              <w:t>13.7</w:t>
            </w: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1"/>
              </w:rPr>
              <w:t>Each Party hereto expressly agrees that any breach or threatened breach of the undertakings of confidentiality provided under this</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1"/>
              </w:rPr>
              <w:t>Clause 13 by a Party may cause irreparable harm to the other Party and that money damages may not provide a sufficient remedy</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4"/>
              </w:rPr>
              <w:t>to the non-breaching Party for any breach or threatened breach. In the event of any breach and/or threatened breach, then, in</w:t>
            </w:r>
          </w:p>
        </w:tc>
      </w:tr>
      <w:tr>
        <w:trPr>
          <w:trHeight w:val="216"/>
        </w:trPr>
        <w:tc>
          <w:tcPr>
            <w:tcW w:w="1640" w:type="dxa"/>
            <w:vAlign w:val="bottom"/>
          </w:tcPr>
          <w:p>
            <w:pPr>
              <w:spacing w:after="0"/>
              <w:rPr>
                <w:sz w:val="18"/>
                <w:szCs w:val="18"/>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w w:val="93"/>
              </w:rPr>
              <w:t>addition to all other remedies available at law or in equity, the non-breaching Party shall be entitled to seek injunctive relief and</w:t>
            </w:r>
          </w:p>
        </w:tc>
      </w:tr>
      <w:tr>
        <w:trPr>
          <w:trHeight w:val="230"/>
        </w:trPr>
        <w:tc>
          <w:tcPr>
            <w:tcW w:w="1640" w:type="dxa"/>
            <w:vAlign w:val="bottom"/>
          </w:tcPr>
          <w:p>
            <w:pPr>
              <w:spacing w:after="0"/>
              <w:rPr>
                <w:sz w:val="20"/>
                <w:szCs w:val="20"/>
                <w:color w:val="auto"/>
              </w:rPr>
            </w:pPr>
          </w:p>
        </w:tc>
        <w:tc>
          <w:tcPr>
            <w:tcW w:w="9780" w:type="dxa"/>
            <w:vAlign w:val="bottom"/>
            <w:gridSpan w:val="2"/>
          </w:tcPr>
          <w:p>
            <w:pPr>
              <w:ind w:left="300"/>
              <w:spacing w:after="0"/>
              <w:rPr>
                <w:sz w:val="20"/>
                <w:szCs w:val="20"/>
                <w:color w:val="auto"/>
              </w:rPr>
            </w:pPr>
            <w:r>
              <w:rPr>
                <w:rFonts w:ascii="Arial" w:cs="Arial" w:eastAsia="Arial" w:hAnsi="Arial"/>
                <w:sz w:val="18"/>
                <w:szCs w:val="18"/>
                <w:color w:val="auto"/>
              </w:rPr>
              <w:t>any other relief deemed appropriate by the non-breaching Party.</w:t>
            </w:r>
          </w:p>
        </w:tc>
      </w:tr>
      <w:tr>
        <w:trPr>
          <w:trHeight w:val="365"/>
        </w:trPr>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40" w:type="dxa"/>
            <w:vAlign w:val="bottom"/>
          </w:tcPr>
          <w:p>
            <w:pPr>
              <w:ind w:left="2940"/>
              <w:spacing w:after="0"/>
              <w:rPr>
                <w:sz w:val="20"/>
                <w:szCs w:val="20"/>
                <w:color w:val="auto"/>
              </w:rPr>
            </w:pPr>
            <w:r>
              <w:rPr>
                <w:rFonts w:ascii="Arial" w:cs="Arial" w:eastAsia="Arial" w:hAnsi="Arial"/>
                <w:sz w:val="18"/>
                <w:szCs w:val="18"/>
                <w:color w:val="auto"/>
              </w:rPr>
              <w:t>23</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r>
    </w:p>
    <w:p>
      <w:pPr>
        <w:ind w:right="740" w:firstLine="8"/>
        <w:spacing w:after="0" w:line="277" w:lineRule="auto"/>
        <w:tabs>
          <w:tab w:leader="none" w:pos="255" w:val="left"/>
        </w:tabs>
        <w:numPr>
          <w:ilvl w:val="0"/>
          <w:numId w:val="5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881" w:right="239" w:bottom="1440" w:gutter="0" w:footer="0" w:header="0"/>
        </w:sectPr>
      </w:pPr>
    </w:p>
    <w:bookmarkStart w:id="458" w:name="page459"/>
    <w:bookmarkEnd w:id="458"/>
    <w:tbl>
      <w:tblPr>
        <w:tblLayout w:type="fixed"/>
        <w:tblInd w:w="0" w:type="dxa"/>
        <w:tblCellMar>
          <w:top w:w="0" w:type="dxa"/>
          <w:left w:w="0" w:type="dxa"/>
          <w:bottom w:w="0" w:type="dxa"/>
          <w:right w:w="0" w:type="dxa"/>
        </w:tblCellMar>
      </w:tblP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CONFIDENTIAL</w:t>
            </w:r>
          </w:p>
        </w:tc>
        <w:tc>
          <w:tcPr>
            <w:tcW w:w="380" w:type="dxa"/>
            <w:vAlign w:val="bottom"/>
          </w:tcPr>
          <w:p>
            <w:pPr>
              <w:spacing w:after="0"/>
              <w:rPr>
                <w:sz w:val="20"/>
                <w:szCs w:val="20"/>
                <w:color w:val="auto"/>
              </w:rPr>
            </w:pPr>
          </w:p>
        </w:tc>
        <w:tc>
          <w:tcPr>
            <w:tcW w:w="9020" w:type="dxa"/>
            <w:vAlign w:val="bottom"/>
          </w:tcPr>
          <w:p>
            <w:pPr>
              <w:spacing w:after="0"/>
              <w:rPr>
                <w:sz w:val="20"/>
                <w:szCs w:val="20"/>
                <w:color w:val="auto"/>
              </w:rPr>
            </w:pPr>
          </w:p>
        </w:tc>
      </w:tr>
      <w:tr>
        <w:trPr>
          <w:trHeight w:val="365"/>
        </w:trPr>
        <w:tc>
          <w:tcPr>
            <w:tcW w:w="560" w:type="dxa"/>
            <w:vAlign w:val="bottom"/>
          </w:tcPr>
          <w:p>
            <w:pPr>
              <w:spacing w:after="0"/>
              <w:rPr>
                <w:sz w:val="20"/>
                <w:szCs w:val="20"/>
                <w:color w:val="auto"/>
              </w:rPr>
            </w:pPr>
            <w:r>
              <w:rPr>
                <w:rFonts w:ascii="Arial" w:cs="Arial" w:eastAsia="Arial" w:hAnsi="Arial"/>
                <w:sz w:val="18"/>
                <w:szCs w:val="18"/>
                <w:b w:val="1"/>
                <w:bCs w:val="1"/>
                <w:color w:val="auto"/>
              </w:rPr>
              <w:t>14</w:t>
            </w:r>
          </w:p>
        </w:tc>
        <w:tc>
          <w:tcPr>
            <w:tcW w:w="10780" w:type="dxa"/>
            <w:vAlign w:val="bottom"/>
            <w:gridSpan w:val="3"/>
          </w:tcPr>
          <w:p>
            <w:pPr>
              <w:ind w:left="360"/>
              <w:spacing w:after="0"/>
              <w:rPr>
                <w:sz w:val="20"/>
                <w:szCs w:val="20"/>
                <w:color w:val="auto"/>
              </w:rPr>
            </w:pPr>
            <w:r>
              <w:rPr>
                <w:rFonts w:ascii="Arial" w:cs="Arial" w:eastAsia="Arial" w:hAnsi="Arial"/>
                <w:sz w:val="18"/>
                <w:szCs w:val="18"/>
                <w:b w:val="1"/>
                <w:bCs w:val="1"/>
                <w:color w:val="auto"/>
              </w:rPr>
              <w:t>Term and Termination</w:t>
            </w:r>
          </w:p>
        </w:tc>
      </w:tr>
      <w:tr>
        <w:trPr>
          <w:trHeight w:val="297"/>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14.1</w:t>
            </w:r>
          </w:p>
        </w:tc>
        <w:tc>
          <w:tcPr>
            <w:tcW w:w="9400" w:type="dxa"/>
            <w:vAlign w:val="bottom"/>
            <w:gridSpan w:val="2"/>
          </w:tcPr>
          <w:p>
            <w:pPr>
              <w:spacing w:after="0"/>
              <w:rPr>
                <w:sz w:val="20"/>
                <w:szCs w:val="20"/>
                <w:color w:val="auto"/>
              </w:rPr>
            </w:pPr>
            <w:r>
              <w:rPr>
                <w:rFonts w:ascii="Arial" w:cs="Arial" w:eastAsia="Arial" w:hAnsi="Arial"/>
                <w:sz w:val="18"/>
                <w:szCs w:val="18"/>
                <w:color w:val="auto"/>
                <w:w w:val="91"/>
              </w:rPr>
              <w:t>Term. This Agreement shall commence on the Effective Date and shall end on the later of the completion of the final cGMP Batch</w:t>
            </w:r>
          </w:p>
        </w:tc>
      </w:tr>
      <w:tr>
        <w:trPr>
          <w:trHeight w:val="20"/>
        </w:trPr>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3"/>
              </w:rPr>
              <w:t>to be manufactured within the Assigned Capacity or the fourth (4</w:t>
            </w:r>
            <w:r>
              <w:rPr>
                <w:rFonts w:ascii="Arial" w:cs="Arial" w:eastAsia="Arial" w:hAnsi="Arial"/>
                <w:sz w:val="15"/>
                <w:szCs w:val="15"/>
                <w:color w:val="auto"/>
                <w:w w:val="93"/>
              </w:rPr>
              <w:t>th</w:t>
            </w:r>
            <w:r>
              <w:rPr>
                <w:rFonts w:ascii="Arial" w:cs="Arial" w:eastAsia="Arial" w:hAnsi="Arial"/>
                <w:sz w:val="18"/>
                <w:szCs w:val="18"/>
                <w:color w:val="auto"/>
                <w:w w:val="93"/>
              </w:rPr>
              <w:t>) anniversary of the Effective Date in 2021 unless terminated</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2"/>
              </w:rPr>
              <w:t>earlier as provided herein or extended by mutual written consent of the Parties or otherwise in accordance with the terms of this</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3"/>
              </w:rPr>
              <w:t>Agreement (the “Term”). The Term may be extended by Forty Seven at its sole option and discretion for a further period of one</w:t>
            </w:r>
          </w:p>
        </w:tc>
      </w:tr>
    </w:tbl>
    <w:p>
      <w:pPr>
        <w:ind w:left="1940" w:hanging="1"/>
        <w:spacing w:after="0" w:line="261" w:lineRule="auto"/>
        <w:tabs>
          <w:tab w:leader="none" w:pos="2195" w:val="left"/>
        </w:tabs>
        <w:numPr>
          <w:ilvl w:val="0"/>
          <w:numId w:val="5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0">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year by providing written notice of such extension to Lonza, such notice shall be provided no later than [*] and the Parties shall execute a written amendment for such extension.</w:t>
      </w:r>
    </w:p>
    <w:p>
      <w:pPr>
        <w:spacing w:after="0" w:line="89"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as follows:</w:t>
      </w:r>
    </w:p>
    <w:p>
      <w:pPr>
        <w:spacing w:after="0" w:line="131"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83"/>
              </w:rPr>
              <w:t>14.2.1</w:t>
            </w:r>
          </w:p>
        </w:tc>
        <w:tc>
          <w:tcPr>
            <w:tcW w:w="8700" w:type="dxa"/>
            <w:vAlign w:val="bottom"/>
          </w:tcPr>
          <w:p>
            <w:pPr>
              <w:ind w:left="280"/>
              <w:spacing w:after="0"/>
              <w:rPr>
                <w:sz w:val="20"/>
                <w:szCs w:val="20"/>
                <w:color w:val="auto"/>
              </w:rPr>
            </w:pPr>
            <w:r>
              <w:rPr>
                <w:rFonts w:ascii="Arial" w:cs="Arial" w:eastAsia="Arial" w:hAnsi="Arial"/>
                <w:sz w:val="18"/>
                <w:szCs w:val="18"/>
                <w:color w:val="auto"/>
                <w:w w:val="92"/>
              </w:rPr>
              <w:t>by either Party if the other Party breaches a material provision of this Agreement or a Project Plan and fails to cure</w:t>
            </w:r>
          </w:p>
        </w:tc>
      </w:tr>
      <w:tr>
        <w:trPr>
          <w:trHeight w:val="216"/>
        </w:trPr>
        <w:tc>
          <w:tcPr>
            <w:tcW w:w="740" w:type="dxa"/>
            <w:vAlign w:val="bottom"/>
          </w:tcPr>
          <w:p>
            <w:pPr>
              <w:spacing w:after="0"/>
              <w:rPr>
                <w:sz w:val="18"/>
                <w:szCs w:val="18"/>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w w:val="95"/>
              </w:rPr>
              <w:t>such breach to the reasonable satisfaction of the non-breaching Party within [*] days ([*] days for non-payment)</w:t>
            </w:r>
          </w:p>
        </w:tc>
      </w:tr>
      <w:tr>
        <w:trPr>
          <w:trHeight w:val="216"/>
        </w:trPr>
        <w:tc>
          <w:tcPr>
            <w:tcW w:w="740" w:type="dxa"/>
            <w:vAlign w:val="bottom"/>
          </w:tcPr>
          <w:p>
            <w:pPr>
              <w:spacing w:after="0"/>
              <w:rPr>
                <w:sz w:val="18"/>
                <w:szCs w:val="18"/>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w w:val="99"/>
              </w:rPr>
              <w:t>following written notification of such breach from the non-breaching party to the breaching party; provided,</w:t>
            </w:r>
          </w:p>
        </w:tc>
      </w:tr>
      <w:tr>
        <w:trPr>
          <w:trHeight w:val="216"/>
        </w:trPr>
        <w:tc>
          <w:tcPr>
            <w:tcW w:w="740" w:type="dxa"/>
            <w:vAlign w:val="bottom"/>
          </w:tcPr>
          <w:p>
            <w:pPr>
              <w:spacing w:after="0"/>
              <w:rPr>
                <w:sz w:val="18"/>
                <w:szCs w:val="18"/>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w w:val="92"/>
              </w:rPr>
              <w:t>however, that such [*] day period shall be extended as agreed by the Parties if the identified breach is incapable of</w:t>
            </w:r>
          </w:p>
        </w:tc>
      </w:tr>
      <w:tr>
        <w:trPr>
          <w:trHeight w:val="216"/>
        </w:trPr>
        <w:tc>
          <w:tcPr>
            <w:tcW w:w="740" w:type="dxa"/>
            <w:vAlign w:val="bottom"/>
          </w:tcPr>
          <w:p>
            <w:pPr>
              <w:spacing w:after="0"/>
              <w:rPr>
                <w:sz w:val="18"/>
                <w:szCs w:val="18"/>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w w:val="91"/>
              </w:rPr>
              <w:t>cure within [*] days and if the breaching Party provides a plan and timeline to cure the breach, promptly commences</w:t>
            </w:r>
          </w:p>
        </w:tc>
      </w:tr>
      <w:tr>
        <w:trPr>
          <w:trHeight w:val="216"/>
        </w:trPr>
        <w:tc>
          <w:tcPr>
            <w:tcW w:w="740" w:type="dxa"/>
            <w:vAlign w:val="bottom"/>
          </w:tcPr>
          <w:p>
            <w:pPr>
              <w:spacing w:after="0"/>
              <w:rPr>
                <w:sz w:val="18"/>
                <w:szCs w:val="18"/>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w w:val="91"/>
              </w:rPr>
              <w:t>efforts to cure the breach and diligently prosecutes such cure (it being understood that this extended period shall be</w:t>
            </w:r>
          </w:p>
        </w:tc>
      </w:tr>
      <w:tr>
        <w:trPr>
          <w:trHeight w:val="230"/>
        </w:trPr>
        <w:tc>
          <w:tcPr>
            <w:tcW w:w="740" w:type="dxa"/>
            <w:vAlign w:val="bottom"/>
          </w:tcPr>
          <w:p>
            <w:pPr>
              <w:spacing w:after="0"/>
              <w:rPr>
                <w:sz w:val="20"/>
                <w:szCs w:val="20"/>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rPr>
              <w:t>unavailable for any breach regarding non-payment);</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83"/>
              </w:rPr>
              <w:t>14.2.2</w:t>
            </w:r>
          </w:p>
        </w:tc>
        <w:tc>
          <w:tcPr>
            <w:tcW w:w="8700" w:type="dxa"/>
            <w:vAlign w:val="bottom"/>
          </w:tcPr>
          <w:p>
            <w:pPr>
              <w:ind w:left="280"/>
              <w:spacing w:after="0"/>
              <w:rPr>
                <w:sz w:val="20"/>
                <w:szCs w:val="20"/>
                <w:color w:val="auto"/>
              </w:rPr>
            </w:pPr>
            <w:r>
              <w:rPr>
                <w:rFonts w:ascii="Arial" w:cs="Arial" w:eastAsia="Arial" w:hAnsi="Arial"/>
                <w:sz w:val="18"/>
                <w:szCs w:val="18"/>
                <w:color w:val="auto"/>
                <w:w w:val="97"/>
              </w:rPr>
              <w:t>by either Party, immediately, if the other Party enters into administration, is declared insolvent is dissolved or</w:t>
            </w:r>
          </w:p>
        </w:tc>
      </w:tr>
      <w:tr>
        <w:trPr>
          <w:trHeight w:val="216"/>
        </w:trPr>
        <w:tc>
          <w:tcPr>
            <w:tcW w:w="740" w:type="dxa"/>
            <w:vAlign w:val="bottom"/>
          </w:tcPr>
          <w:p>
            <w:pPr>
              <w:spacing w:after="0"/>
              <w:rPr>
                <w:sz w:val="18"/>
                <w:szCs w:val="18"/>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w w:val="94"/>
              </w:rPr>
              <w:t>liquidated, makes a general assignment for the benefit of its creditors, or files or has filed against it, a petition in</w:t>
            </w:r>
          </w:p>
        </w:tc>
      </w:tr>
      <w:tr>
        <w:trPr>
          <w:trHeight w:val="230"/>
        </w:trPr>
        <w:tc>
          <w:tcPr>
            <w:tcW w:w="740" w:type="dxa"/>
            <w:vAlign w:val="bottom"/>
          </w:tcPr>
          <w:p>
            <w:pPr>
              <w:spacing w:after="0"/>
              <w:rPr>
                <w:sz w:val="20"/>
                <w:szCs w:val="20"/>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rPr>
              <w:t>bankruptcy or has an administrator or receiver appointed for a substantial part of its assets;</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83"/>
              </w:rPr>
              <w:t>14.2.3</w:t>
            </w:r>
          </w:p>
        </w:tc>
        <w:tc>
          <w:tcPr>
            <w:tcW w:w="8700" w:type="dxa"/>
            <w:vAlign w:val="bottom"/>
          </w:tcPr>
          <w:p>
            <w:pPr>
              <w:ind w:left="280"/>
              <w:spacing w:after="0"/>
              <w:rPr>
                <w:sz w:val="20"/>
                <w:szCs w:val="20"/>
                <w:color w:val="auto"/>
              </w:rPr>
            </w:pPr>
            <w:r>
              <w:rPr>
                <w:rFonts w:ascii="Arial" w:cs="Arial" w:eastAsia="Arial" w:hAnsi="Arial"/>
                <w:sz w:val="18"/>
                <w:szCs w:val="18"/>
                <w:color w:val="auto"/>
              </w:rPr>
              <w:t>by either Party pursuant to Clause 15;</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83"/>
              </w:rPr>
              <w:t>14.2.4</w:t>
            </w:r>
          </w:p>
        </w:tc>
        <w:tc>
          <w:tcPr>
            <w:tcW w:w="8700" w:type="dxa"/>
            <w:vAlign w:val="bottom"/>
          </w:tcPr>
          <w:p>
            <w:pPr>
              <w:ind w:left="280"/>
              <w:spacing w:after="0"/>
              <w:rPr>
                <w:sz w:val="20"/>
                <w:szCs w:val="20"/>
                <w:color w:val="auto"/>
              </w:rPr>
            </w:pPr>
            <w:r>
              <w:rPr>
                <w:rFonts w:ascii="Arial" w:cs="Arial" w:eastAsia="Arial" w:hAnsi="Arial"/>
                <w:sz w:val="18"/>
                <w:szCs w:val="18"/>
                <w:color w:val="auto"/>
              </w:rPr>
              <w:t>by customer for any reason upon providing a written notice of no less than [*] to Lonza.</w:t>
            </w:r>
          </w:p>
        </w:tc>
      </w:tr>
    </w:tbl>
    <w:p>
      <w:pPr>
        <w:spacing w:after="0" w:line="107"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u w:val="single" w:color="auto"/>
          <w:color w:val="auto"/>
        </w:rPr>
        <w:t>Consequences of Termination</w:t>
      </w:r>
      <w:r>
        <w:rPr>
          <w:rFonts w:ascii="Arial" w:cs="Arial" w:eastAsia="Arial" w:hAnsi="Arial"/>
          <w:sz w:val="16"/>
          <w:szCs w:val="16"/>
          <w:color w:val="auto"/>
        </w:rPr>
        <w:t>. In the event of termination of this Agreement and subject to always to Clauses is 8.5, 14.4 in 14.5;</w:t>
      </w:r>
    </w:p>
    <w:p>
      <w:pPr>
        <w:spacing w:after="0" w:line="131" w:lineRule="exact"/>
        <w:rPr>
          <w:sz w:val="20"/>
          <w:szCs w:val="20"/>
          <w:color w:val="auto"/>
        </w:rPr>
      </w:pPr>
    </w:p>
    <w:p>
      <w:pPr>
        <w:ind w:left="2960" w:right="80" w:hanging="1025"/>
        <w:spacing w:after="0" w:line="279" w:lineRule="auto"/>
        <w:tabs>
          <w:tab w:leader="none" w:pos="2940" w:val="left"/>
        </w:tabs>
        <w:rPr>
          <w:sz w:val="20"/>
          <w:szCs w:val="20"/>
          <w:color w:val="auto"/>
        </w:rPr>
      </w:pPr>
      <w:r>
        <w:rPr>
          <w:rFonts w:ascii="Arial" w:cs="Arial" w:eastAsia="Arial" w:hAnsi="Arial"/>
          <w:sz w:val="18"/>
          <w:szCs w:val="18"/>
          <w:color w:val="auto"/>
        </w:rPr>
        <w:t>14.3.1</w:t>
      </w:r>
      <w:r>
        <w:rPr>
          <w:sz w:val="20"/>
          <w:szCs w:val="20"/>
          <w:color w:val="auto"/>
        </w:rPr>
        <w:tab/>
      </w:r>
      <w:r>
        <w:rPr>
          <w:rFonts w:ascii="Arial" w:cs="Arial" w:eastAsia="Arial" w:hAnsi="Arial"/>
          <w:sz w:val="17"/>
          <w:szCs w:val="17"/>
          <w:color w:val="auto"/>
        </w:rPr>
        <w:t>all Batches scheduled or in-process with respect to any Product on the effective date of termination shall be deemed to have been canceled, unless this Agreement is terminated by Forty Seven under Clause 14.2.1 or 14.2.2, in which case Forty Seven may elect, by provision of written notice to Lonza, for Lonza to complete manufacture of and deliver in accordance with the terms of this Agreement any such cGMP Batch in-process;</w:t>
      </w:r>
    </w:p>
    <w:p>
      <w:pPr>
        <w:spacing w:after="0" w:line="77" w:lineRule="exact"/>
        <w:rPr>
          <w:sz w:val="20"/>
          <w:szCs w:val="20"/>
          <w:color w:val="auto"/>
        </w:rPr>
      </w:pPr>
    </w:p>
    <w:p>
      <w:pPr>
        <w:ind w:left="2960" w:right="500" w:hanging="1025"/>
        <w:spacing w:after="0" w:line="277" w:lineRule="auto"/>
        <w:tabs>
          <w:tab w:leader="none" w:pos="2940" w:val="left"/>
        </w:tabs>
        <w:rPr>
          <w:sz w:val="20"/>
          <w:szCs w:val="20"/>
          <w:color w:val="auto"/>
        </w:rPr>
      </w:pPr>
      <w:r>
        <w:rPr>
          <w:rFonts w:ascii="Arial" w:cs="Arial" w:eastAsia="Arial" w:hAnsi="Arial"/>
          <w:sz w:val="18"/>
          <w:szCs w:val="18"/>
          <w:color w:val="auto"/>
        </w:rPr>
        <w:t>14.3.2</w:t>
      </w:r>
      <w:r>
        <w:rPr>
          <w:sz w:val="20"/>
          <w:szCs w:val="20"/>
          <w:color w:val="auto"/>
        </w:rPr>
        <w:tab/>
      </w:r>
      <w:r>
        <w:rPr>
          <w:rFonts w:ascii="Arial" w:cs="Arial" w:eastAsia="Arial" w:hAnsi="Arial"/>
          <w:sz w:val="18"/>
          <w:szCs w:val="18"/>
          <w:color w:val="auto"/>
        </w:rPr>
        <w:t>Subjects to the other terms of this Agreement, within [*] days of receipt of an invoice therefor, Lonza shall be compensated for:</w:t>
      </w:r>
    </w:p>
    <w:p>
      <w:pPr>
        <w:spacing w:after="0" w:line="76" w:lineRule="exact"/>
        <w:rPr>
          <w:sz w:val="20"/>
          <w:szCs w:val="20"/>
          <w:color w:val="auto"/>
        </w:rPr>
      </w:pPr>
    </w:p>
    <w:p>
      <w:pPr>
        <w:ind w:left="2960" w:right="260" w:hanging="1021"/>
        <w:spacing w:after="0" w:line="277" w:lineRule="auto"/>
        <w:tabs>
          <w:tab w:leader="none" w:pos="296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all Services rendered in accordance with this Agreement up to the date of termination, including in respect of any Product in-process (including any additional cGMP Batches); and</w:t>
      </w:r>
    </w:p>
    <w:p>
      <w:pPr>
        <w:spacing w:after="0" w:line="75" w:lineRule="exact"/>
        <w:rPr>
          <w:rFonts w:ascii="Arial" w:cs="Arial" w:eastAsia="Arial" w:hAnsi="Arial"/>
          <w:sz w:val="18"/>
          <w:szCs w:val="18"/>
          <w:color w:val="auto"/>
        </w:rPr>
      </w:pPr>
    </w:p>
    <w:p>
      <w:pPr>
        <w:ind w:left="2960" w:right="80" w:hanging="1021"/>
        <w:spacing w:after="0" w:line="264" w:lineRule="auto"/>
        <w:tabs>
          <w:tab w:leader="none" w:pos="296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all costs through the date of termination, including Raw Materials costs and Raw Materials Fees for Raw Materials used or purchased for use in connection with the Project Plan (as set forth in Section 2.8), in each case, to the extent such costs were incurred in accordance with this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117" w:lineRule="exact"/>
        <w:rPr>
          <w:sz w:val="20"/>
          <w:szCs w:val="20"/>
          <w:color w:val="auto"/>
        </w:rPr>
      </w:pPr>
    </w:p>
    <w:p>
      <w:pPr>
        <w:ind w:right="700" w:firstLine="8"/>
        <w:spacing w:after="0" w:line="277" w:lineRule="auto"/>
        <w:tabs>
          <w:tab w:leader="none" w:pos="255" w:val="left"/>
        </w:tabs>
        <w:numPr>
          <w:ilvl w:val="0"/>
          <w:numId w:val="55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80"/>
          </w:cols>
          <w:pgMar w:left="240" w:top="881" w:right="279" w:bottom="1440" w:gutter="0" w:footer="0" w:header="0"/>
        </w:sectPr>
      </w:pPr>
    </w:p>
    <w:bookmarkStart w:id="459" w:name="page460"/>
    <w:bookmarkEnd w:id="4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2">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left="2960" w:hanging="1025"/>
        <w:spacing w:after="0" w:line="259" w:lineRule="auto"/>
        <w:tabs>
          <w:tab w:leader="none" w:pos="2940" w:val="left"/>
        </w:tabs>
        <w:rPr>
          <w:sz w:val="20"/>
          <w:szCs w:val="20"/>
          <w:color w:val="auto"/>
        </w:rPr>
      </w:pPr>
      <w:r>
        <w:rPr>
          <w:rFonts w:ascii="Arial" w:cs="Arial" w:eastAsia="Arial" w:hAnsi="Arial"/>
          <w:sz w:val="18"/>
          <w:szCs w:val="18"/>
          <w:color w:val="auto"/>
        </w:rPr>
        <w:t>14.3.3</w:t>
      </w:r>
      <w:r>
        <w:rPr>
          <w:sz w:val="20"/>
          <w:szCs w:val="20"/>
          <w:color w:val="auto"/>
        </w:rPr>
        <w:tab/>
      </w:r>
      <w:r>
        <w:rPr>
          <w:rFonts w:ascii="Arial" w:cs="Arial" w:eastAsia="Arial" w:hAnsi="Arial"/>
          <w:sz w:val="18"/>
          <w:szCs w:val="18"/>
          <w:color w:val="auto"/>
        </w:rPr>
        <w:t>Provided that Forty Seven has made all payments to Lonza in accordance with this Agreement, upon termination or expiration all unused Raw Materials and Forty Seven Materials and Product created pursuant to this Agreement shall, at Forty Seven’s election, be delivered to a Customer or disposed of by Lonza and in each case, at cost to Forty Seven.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14.4</w:t>
            </w:r>
          </w:p>
        </w:tc>
        <w:tc>
          <w:tcPr>
            <w:tcW w:w="9420" w:type="dxa"/>
            <w:vAlign w:val="bottom"/>
            <w:gridSpan w:val="3"/>
          </w:tcPr>
          <w:p>
            <w:pPr>
              <w:spacing w:after="0"/>
              <w:rPr>
                <w:sz w:val="20"/>
                <w:szCs w:val="20"/>
                <w:color w:val="auto"/>
              </w:rPr>
            </w:pPr>
            <w:r>
              <w:rPr>
                <w:rFonts w:ascii="Arial" w:cs="Arial" w:eastAsia="Arial" w:hAnsi="Arial"/>
                <w:sz w:val="18"/>
                <w:szCs w:val="18"/>
                <w:color w:val="auto"/>
                <w:w w:val="94"/>
              </w:rPr>
              <w:t>In the event of termination of this Agreement by Lonza pursuant to Clause 14.2.1 or 14.2.2, then in addition to Clause 14.3, [*]</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terminated by Lonza in accordance with Clause 14.2.1 or 14.2.2.</w:t>
            </w:r>
          </w:p>
        </w:tc>
      </w:tr>
      <w:tr>
        <w:trPr>
          <w:trHeight w:val="323"/>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14.5</w:t>
            </w:r>
          </w:p>
        </w:tc>
        <w:tc>
          <w:tcPr>
            <w:tcW w:w="9420" w:type="dxa"/>
            <w:vAlign w:val="bottom"/>
            <w:gridSpan w:val="3"/>
          </w:tcPr>
          <w:p>
            <w:pPr>
              <w:spacing w:after="0"/>
              <w:rPr>
                <w:sz w:val="20"/>
                <w:szCs w:val="20"/>
                <w:color w:val="auto"/>
              </w:rPr>
            </w:pPr>
            <w:r>
              <w:rPr>
                <w:rFonts w:ascii="Arial" w:cs="Arial" w:eastAsia="Arial" w:hAnsi="Arial"/>
                <w:sz w:val="18"/>
                <w:szCs w:val="18"/>
                <w:color w:val="auto"/>
                <w:w w:val="92"/>
              </w:rPr>
              <w:t>In the event of termination of this Agreement by Forty Seven pursuant to Clause 14.2.4, then [*] in accordance with the terms of</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w w:val="95"/>
              </w:rPr>
              <w:t>this Agreement and [*] obligations hereunder [*] until the earliest of [*] terminated by Forty Seven in accordance with Clause</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14.2.4, or (iii) the termination of this Agreement in accordance with the terms of Clause 14.2.</w:t>
            </w:r>
          </w:p>
        </w:tc>
      </w:tr>
      <w:tr>
        <w:trPr>
          <w:trHeight w:val="297"/>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14.6</w:t>
            </w:r>
          </w:p>
        </w:tc>
        <w:tc>
          <w:tcPr>
            <w:tcW w:w="9420" w:type="dxa"/>
            <w:vAlign w:val="bottom"/>
            <w:gridSpan w:val="3"/>
          </w:tcPr>
          <w:p>
            <w:pPr>
              <w:spacing w:after="0"/>
              <w:rPr>
                <w:sz w:val="20"/>
                <w:szCs w:val="20"/>
                <w:color w:val="auto"/>
              </w:rPr>
            </w:pPr>
            <w:r>
              <w:rPr>
                <w:rFonts w:ascii="Arial" w:cs="Arial" w:eastAsia="Arial" w:hAnsi="Arial"/>
                <w:sz w:val="18"/>
                <w:szCs w:val="18"/>
                <w:color w:val="auto"/>
                <w:w w:val="95"/>
              </w:rPr>
              <w:t>General. Expiration or termination of this Agreement for any reason shall not release any Party hereto from any obligation or</w:t>
            </w:r>
          </w:p>
        </w:tc>
      </w:tr>
      <w:tr>
        <w:trPr>
          <w:trHeight w:val="20"/>
        </w:trPr>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w w:val="94"/>
              </w:rPr>
              <w:t>liability which, as of the effective date of termination, has already accrued to the other Party or which is attributable to a period</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w w:val="92"/>
              </w:rPr>
              <w:t>prior to the effective date of termination nor preclude either Party from pursuing all rights and remedies it may have hereunder or</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w w:val="91"/>
              </w:rPr>
              <w:t>at law or in equity with respect to any breach of this Agreement. Except as set forth in this Section 14.6 or 14.7, upon expiration or</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termination this Agreement shall be of no further force or effect.</w:t>
            </w:r>
          </w:p>
        </w:tc>
      </w:tr>
      <w:tr>
        <w:trPr>
          <w:trHeight w:val="297"/>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14.7</w:t>
            </w:r>
          </w:p>
        </w:tc>
        <w:tc>
          <w:tcPr>
            <w:tcW w:w="9420" w:type="dxa"/>
            <w:vAlign w:val="bottom"/>
            <w:gridSpan w:val="3"/>
          </w:tcPr>
          <w:p>
            <w:pPr>
              <w:spacing w:after="0"/>
              <w:rPr>
                <w:sz w:val="20"/>
                <w:szCs w:val="20"/>
                <w:color w:val="auto"/>
              </w:rPr>
            </w:pPr>
            <w:r>
              <w:rPr>
                <w:rFonts w:ascii="Arial" w:cs="Arial" w:eastAsia="Arial" w:hAnsi="Arial"/>
                <w:sz w:val="18"/>
                <w:szCs w:val="18"/>
                <w:color w:val="auto"/>
                <w:w w:val="90"/>
              </w:rPr>
              <w:t>Survival. Clauses 2.7, 2.10, 5, 7, 8.6 Error Reference source not found., 10, 11.1.6, 11.2.5, 12, 13, 14, 15, and 16 shall survive the</w:t>
            </w:r>
          </w:p>
        </w:tc>
      </w:tr>
      <w:tr>
        <w:trPr>
          <w:trHeight w:val="20"/>
        </w:trPr>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expiration or termination of this Agreement.</w:t>
            </w:r>
          </w:p>
        </w:tc>
      </w:tr>
      <w:tr>
        <w:trPr>
          <w:trHeight w:val="581"/>
        </w:trPr>
        <w:tc>
          <w:tcPr>
            <w:tcW w:w="56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15</w:t>
            </w:r>
          </w:p>
        </w:tc>
        <w:tc>
          <w:tcPr>
            <w:tcW w:w="10800" w:type="dxa"/>
            <w:vAlign w:val="bottom"/>
            <w:gridSpan w:val="4"/>
          </w:tcPr>
          <w:p>
            <w:pPr>
              <w:ind w:left="360"/>
              <w:spacing w:after="0"/>
              <w:rPr>
                <w:sz w:val="20"/>
                <w:szCs w:val="20"/>
                <w:color w:val="auto"/>
              </w:rPr>
            </w:pPr>
            <w:r>
              <w:rPr>
                <w:rFonts w:ascii="Arial" w:cs="Arial" w:eastAsia="Arial" w:hAnsi="Arial"/>
                <w:sz w:val="18"/>
                <w:szCs w:val="18"/>
                <w:b w:val="1"/>
                <w:bCs w:val="1"/>
                <w:color w:val="auto"/>
              </w:rPr>
              <w:t>Force Majeure</w:t>
            </w:r>
          </w:p>
        </w:tc>
      </w:tr>
      <w:tr>
        <w:trPr>
          <w:trHeight w:val="323"/>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15.1</w:t>
            </w:r>
          </w:p>
        </w:tc>
        <w:tc>
          <w:tcPr>
            <w:tcW w:w="9420" w:type="dxa"/>
            <w:vAlign w:val="bottom"/>
            <w:gridSpan w:val="3"/>
          </w:tcPr>
          <w:p>
            <w:pPr>
              <w:spacing w:after="0"/>
              <w:rPr>
                <w:sz w:val="20"/>
                <w:szCs w:val="20"/>
                <w:color w:val="auto"/>
              </w:rPr>
            </w:pPr>
            <w:r>
              <w:rPr>
                <w:rFonts w:ascii="Arial" w:cs="Arial" w:eastAsia="Arial" w:hAnsi="Arial"/>
                <w:sz w:val="18"/>
                <w:szCs w:val="18"/>
                <w:color w:val="auto"/>
                <w:w w:val="93"/>
              </w:rPr>
              <w:t>If Lonza is prevented or delayed in the performance of any of its obligations under the Agreement by Force Majeure and gives</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w w:val="94"/>
              </w:rPr>
              <w:t>written notice thereof to Forty Seven specifying the matters constituting Force Majeure together with such evidence as Lonza</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w w:val="91"/>
              </w:rPr>
              <w:t>reasonably can give and specifying the period for which it is estimated that such prevention or delay will continue, Lonza shall be</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w w:val="90"/>
              </w:rPr>
              <w:t>excused from the performance or the punctual performance of such obligations as the case may be from the date of such notice for</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w w:val="94"/>
              </w:rPr>
              <w:t>so long as such cause of prevention or delay shall continue. In such event, Forty Seven’s obligations under Clause 8 shall be</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w w:val="95"/>
              </w:rPr>
              <w:t>suspended for so long as such Force Majeure shall continue. Provided that, if such Force Majeure persists for a period of [*]</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months or more, either Party may terminate this Agreement by delivering written notice to the other Party.</w:t>
            </w:r>
          </w:p>
        </w:tc>
      </w:tr>
      <w:tr>
        <w:trPr>
          <w:trHeight w:val="323"/>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15.2</w:t>
            </w:r>
          </w:p>
        </w:tc>
        <w:tc>
          <w:tcPr>
            <w:tcW w:w="9420" w:type="dxa"/>
            <w:vAlign w:val="bottom"/>
            <w:gridSpan w:val="3"/>
          </w:tcPr>
          <w:p>
            <w:pPr>
              <w:spacing w:after="0"/>
              <w:rPr>
                <w:sz w:val="20"/>
                <w:szCs w:val="20"/>
                <w:color w:val="auto"/>
              </w:rPr>
            </w:pPr>
            <w:r>
              <w:rPr>
                <w:rFonts w:ascii="Arial" w:cs="Arial" w:eastAsia="Arial" w:hAnsi="Arial"/>
                <w:sz w:val="18"/>
                <w:szCs w:val="18"/>
                <w:color w:val="auto"/>
                <w:w w:val="91"/>
              </w:rPr>
              <w:t>“Force Majeure” shall be deemed to include any reason or cause beyond Lonza’s reasonable control affecting the performance by</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w w:val="93"/>
              </w:rPr>
              <w:t>Lonza of its obligations under the Agreement, including, but not limited to, any cause arising from or attributable to acts of God,</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w w:val="91"/>
              </w:rPr>
              <w:t>strike, lockouts, labor troubles, restrictive governmental orders or decrees, riots, insurrection, war, terrorists acts, or the inability of</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Lonza to obtain any required raw material, energy source, equipment, labor or transportation.</w:t>
            </w:r>
          </w:p>
        </w:tc>
      </w:tr>
      <w:tr>
        <w:trPr>
          <w:trHeight w:val="323"/>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15.3</w:t>
            </w:r>
          </w:p>
        </w:tc>
        <w:tc>
          <w:tcPr>
            <w:tcW w:w="9420" w:type="dxa"/>
            <w:vAlign w:val="bottom"/>
            <w:gridSpan w:val="3"/>
          </w:tcPr>
          <w:p>
            <w:pPr>
              <w:spacing w:after="0"/>
              <w:rPr>
                <w:sz w:val="20"/>
                <w:szCs w:val="20"/>
                <w:color w:val="auto"/>
              </w:rPr>
            </w:pPr>
            <w:r>
              <w:rPr>
                <w:rFonts w:ascii="Arial" w:cs="Arial" w:eastAsia="Arial" w:hAnsi="Arial"/>
                <w:sz w:val="18"/>
                <w:szCs w:val="18"/>
                <w:color w:val="auto"/>
                <w:w w:val="96"/>
              </w:rPr>
              <w:t>With regard to Lonza, any such event of Force Majeure affecting services or production at its affiliates or suppliers shall be</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rPr>
              <w:t>regarded as an event of Force Majeure.</w:t>
            </w:r>
          </w:p>
        </w:tc>
      </w:tr>
      <w:tr>
        <w:trPr>
          <w:trHeight w:val="365"/>
        </w:trPr>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20" w:type="dxa"/>
            <w:vAlign w:val="bottom"/>
            <w:gridSpan w:val="3"/>
          </w:tcPr>
          <w:p>
            <w:pPr>
              <w:ind w:left="3680"/>
              <w:spacing w:after="0"/>
              <w:rPr>
                <w:sz w:val="20"/>
                <w:szCs w:val="20"/>
                <w:color w:val="auto"/>
              </w:rPr>
            </w:pPr>
            <w:r>
              <w:rPr>
                <w:rFonts w:ascii="Arial" w:cs="Arial" w:eastAsia="Arial" w:hAnsi="Arial"/>
                <w:sz w:val="18"/>
                <w:szCs w:val="18"/>
                <w:color w:val="auto"/>
              </w:rPr>
              <w:t>25</w:t>
            </w:r>
          </w:p>
        </w:tc>
      </w:tr>
    </w:tbl>
    <w:p>
      <w:pPr>
        <w:spacing w:after="0" w:line="94" w:lineRule="exact"/>
        <w:rPr>
          <w:sz w:val="20"/>
          <w:szCs w:val="20"/>
          <w:color w:val="auto"/>
        </w:rPr>
      </w:pPr>
    </w:p>
    <w:p>
      <w:pPr>
        <w:ind w:right="740" w:firstLine="8"/>
        <w:spacing w:after="0" w:line="277" w:lineRule="auto"/>
        <w:tabs>
          <w:tab w:leader="none" w:pos="255" w:val="left"/>
        </w:tabs>
        <w:numPr>
          <w:ilvl w:val="0"/>
          <w:numId w:val="5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881" w:right="239" w:bottom="1440" w:gutter="0" w:footer="0" w:header="0"/>
        </w:sectPr>
      </w:pPr>
    </w:p>
    <w:bookmarkStart w:id="460" w:name="page461"/>
    <w:bookmarkEnd w:id="460"/>
    <w:tbl>
      <w:tblPr>
        <w:tblLayout w:type="fixed"/>
        <w:tblInd w:w="0" w:type="dxa"/>
        <w:tblCellMar>
          <w:top w:w="0" w:type="dxa"/>
          <w:left w:w="0" w:type="dxa"/>
          <w:bottom w:w="0" w:type="dxa"/>
          <w:right w:w="0" w:type="dxa"/>
        </w:tblCellMar>
      </w:tblP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CONFIDENTIAL</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60" w:type="dxa"/>
            <w:vAlign w:val="bottom"/>
          </w:tcPr>
          <w:p>
            <w:pPr>
              <w:spacing w:after="0"/>
              <w:rPr>
                <w:sz w:val="20"/>
                <w:szCs w:val="20"/>
                <w:color w:val="auto"/>
              </w:rPr>
            </w:pPr>
          </w:p>
        </w:tc>
      </w:tr>
      <w:tr>
        <w:trPr>
          <w:trHeight w:val="365"/>
        </w:trPr>
        <w:tc>
          <w:tcPr>
            <w:tcW w:w="560" w:type="dxa"/>
            <w:vAlign w:val="bottom"/>
          </w:tcPr>
          <w:p>
            <w:pPr>
              <w:spacing w:after="0"/>
              <w:rPr>
                <w:sz w:val="20"/>
                <w:szCs w:val="20"/>
                <w:color w:val="auto"/>
              </w:rPr>
            </w:pPr>
            <w:r>
              <w:rPr>
                <w:rFonts w:ascii="Arial" w:cs="Arial" w:eastAsia="Arial" w:hAnsi="Arial"/>
                <w:sz w:val="18"/>
                <w:szCs w:val="18"/>
                <w:b w:val="1"/>
                <w:bCs w:val="1"/>
                <w:color w:val="auto"/>
              </w:rPr>
              <w:t>16</w:t>
            </w:r>
          </w:p>
        </w:tc>
        <w:tc>
          <w:tcPr>
            <w:tcW w:w="2240" w:type="dxa"/>
            <w:vAlign w:val="bottom"/>
            <w:gridSpan w:val="3"/>
          </w:tcPr>
          <w:p>
            <w:pPr>
              <w:ind w:left="360"/>
              <w:spacing w:after="0"/>
              <w:rPr>
                <w:sz w:val="20"/>
                <w:szCs w:val="20"/>
                <w:color w:val="auto"/>
              </w:rPr>
            </w:pPr>
            <w:r>
              <w:rPr>
                <w:rFonts w:ascii="Arial" w:cs="Arial" w:eastAsia="Arial" w:hAnsi="Arial"/>
                <w:sz w:val="18"/>
                <w:szCs w:val="18"/>
                <w:b w:val="1"/>
                <w:bCs w:val="1"/>
                <w:color w:val="auto"/>
              </w:rPr>
              <w:t>Miscellaneous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60" w:type="dxa"/>
            <w:vAlign w:val="bottom"/>
          </w:tcPr>
          <w:p>
            <w:pPr>
              <w:spacing w:after="0"/>
              <w:rPr>
                <w:sz w:val="24"/>
                <w:szCs w:val="24"/>
                <w:color w:val="auto"/>
              </w:rPr>
            </w:pPr>
          </w:p>
        </w:tc>
      </w:tr>
      <w:tr>
        <w:trPr>
          <w:trHeight w:val="297"/>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16.1</w:t>
            </w: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Severability. If any provision hereof is or becomes at any time illegal, invalid or unenforceable in any respect, neither the legality,</w:t>
            </w:r>
          </w:p>
        </w:tc>
      </w:tr>
      <w:tr>
        <w:trPr>
          <w:trHeight w:val="20"/>
        </w:trPr>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validity nor enforceability of the remaining provisions hereof shall in any way be affected or impaired thereby. The Parties hereto</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5"/>
              </w:rPr>
              <w:t>undertake to substitute any illegal, invalid or unenforceable provision by a provision which is as far as possible commercially</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equivalent considering the legal interests and the purpose.</w:t>
            </w:r>
          </w:p>
        </w:tc>
      </w:tr>
      <w:tr>
        <w:trPr>
          <w:trHeight w:val="297"/>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16.2</w:t>
            </w:r>
          </w:p>
        </w:tc>
        <w:tc>
          <w:tcPr>
            <w:tcW w:w="9480" w:type="dxa"/>
            <w:vAlign w:val="bottom"/>
            <w:gridSpan w:val="6"/>
          </w:tcPr>
          <w:p>
            <w:pPr>
              <w:spacing w:after="0"/>
              <w:rPr>
                <w:sz w:val="20"/>
                <w:szCs w:val="20"/>
                <w:color w:val="auto"/>
              </w:rPr>
            </w:pPr>
            <w:r>
              <w:rPr>
                <w:rFonts w:ascii="Arial" w:cs="Arial" w:eastAsia="Arial" w:hAnsi="Arial"/>
                <w:sz w:val="18"/>
                <w:szCs w:val="18"/>
                <w:color w:val="auto"/>
              </w:rPr>
              <w:t>Amendments. Modifications and/or amendments of this Agreement must be in writing and signed by the Parties.</w:t>
            </w:r>
          </w:p>
        </w:tc>
      </w:tr>
      <w:tr>
        <w:trPr>
          <w:trHeight w:val="20"/>
        </w:trPr>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318"/>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16.3</w:t>
            </w:r>
          </w:p>
        </w:tc>
        <w:tc>
          <w:tcPr>
            <w:tcW w:w="9480" w:type="dxa"/>
            <w:vAlign w:val="bottom"/>
            <w:gridSpan w:val="6"/>
          </w:tcPr>
          <w:p>
            <w:pPr>
              <w:spacing w:after="0"/>
              <w:rPr>
                <w:sz w:val="20"/>
                <w:szCs w:val="20"/>
                <w:color w:val="auto"/>
              </w:rPr>
            </w:pPr>
            <w:r>
              <w:rPr>
                <w:rFonts w:ascii="Arial" w:cs="Arial" w:eastAsia="Arial" w:hAnsi="Arial"/>
                <w:sz w:val="18"/>
                <w:szCs w:val="18"/>
                <w:color w:val="auto"/>
                <w:w w:val="95"/>
              </w:rPr>
              <w:t>Performance by Affiliates. Lonza shall be entitled to instruct one or more of its Affiliates to perform any of Lonza’s obligations</w:t>
            </w:r>
          </w:p>
        </w:tc>
      </w:tr>
      <w:tr>
        <w:trPr>
          <w:trHeight w:val="20"/>
        </w:trPr>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3"/>
              </w:rPr>
              <w:t>contained in this Agreement, but Lonza shall remain fully responsible in respect of those obligations and shall be responsible for</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7"/>
              </w:rPr>
              <w:t>any action or omission of such Affiliate that would constitute a breach of this Agreement had such action or omission been</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conducted by Lonza itself.</w:t>
            </w:r>
          </w:p>
        </w:tc>
      </w:tr>
      <w:tr>
        <w:trPr>
          <w:trHeight w:val="297"/>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16.4</w:t>
            </w:r>
          </w:p>
        </w:tc>
        <w:tc>
          <w:tcPr>
            <w:tcW w:w="9480" w:type="dxa"/>
            <w:vAlign w:val="bottom"/>
            <w:gridSpan w:val="6"/>
          </w:tcPr>
          <w:p>
            <w:pPr>
              <w:spacing w:after="0"/>
              <w:rPr>
                <w:sz w:val="20"/>
                <w:szCs w:val="20"/>
                <w:color w:val="auto"/>
              </w:rPr>
            </w:pPr>
            <w:r>
              <w:rPr>
                <w:rFonts w:ascii="Arial" w:cs="Arial" w:eastAsia="Arial" w:hAnsi="Arial"/>
                <w:sz w:val="18"/>
                <w:szCs w:val="18"/>
                <w:color w:val="auto"/>
                <w:w w:val="90"/>
              </w:rPr>
              <w:t>Assignment. Neither Party shall be entitled to assign, transfer, charge or in any way make over the benefit and/or the burden of this</w:t>
            </w:r>
          </w:p>
        </w:tc>
      </w:tr>
      <w:tr>
        <w:trPr>
          <w:trHeight w:val="20"/>
        </w:trPr>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3"/>
              </w:rPr>
              <w:t>Agreement without the prior written consent of the other which consent shall not be unreasonably withheld or delayed, save that</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2"/>
              </w:rPr>
              <w:t>Lonza shall be entitled without the prior written consent Forty Seven to assign, transfer, charge, sub-contract, deal with or in any</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6"/>
              </w:rPr>
              <w:t>other manner make over the benefit and/or burden of this Agreement (i) to an Affiliate or (ii) to any joint venture company of</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3"/>
              </w:rPr>
              <w:t>which Lonza is the beneficial owner of at least fifty percent (50%) of the issued share capital thereof or (iii) to any company with</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7"/>
              </w:rPr>
              <w:t>which Lonza may merge or (iv) to any company to which Lonza may transfer substantially all of its business or assets and</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undertakings. Notwithstanding the foregoing, Forty Seven may, [*], assign this Agreement to [*].</w:t>
            </w:r>
          </w:p>
        </w:tc>
      </w:tr>
      <w:tr>
        <w:trPr>
          <w:trHeight w:val="297"/>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16.5</w:t>
            </w:r>
          </w:p>
        </w:tc>
        <w:tc>
          <w:tcPr>
            <w:tcW w:w="9480" w:type="dxa"/>
            <w:vAlign w:val="bottom"/>
            <w:gridSpan w:val="6"/>
          </w:tcPr>
          <w:p>
            <w:pPr>
              <w:spacing w:after="0"/>
              <w:rPr>
                <w:sz w:val="20"/>
                <w:szCs w:val="20"/>
                <w:color w:val="auto"/>
              </w:rPr>
            </w:pPr>
            <w:r>
              <w:rPr>
                <w:rFonts w:ascii="Arial" w:cs="Arial" w:eastAsia="Arial" w:hAnsi="Arial"/>
                <w:sz w:val="18"/>
                <w:szCs w:val="18"/>
                <w:color w:val="auto"/>
                <w:w w:val="96"/>
              </w:rPr>
              <w:t>Notice. All notices must be written and sent to the address of the Party first set forth above. All notices must be given (a) by</w:t>
            </w:r>
          </w:p>
        </w:tc>
      </w:tr>
      <w:tr>
        <w:trPr>
          <w:trHeight w:val="20"/>
        </w:trPr>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1"/>
              </w:rPr>
              <w:t>personal delivery, with receipt acknowledged, (b) by facsimile followed by hard copy delivered by the methods under (c) or (d), (c)</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w w:val="93"/>
              </w:rPr>
              <w:t>by prepaid certified or registered mail, return receipt requested, or (d) by prepaid recognized next business day delivery service.</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Notices will be effective upon receipt or at a later date stated in the notice.</w:t>
            </w:r>
          </w:p>
        </w:tc>
      </w:tr>
      <w:tr>
        <w:trPr>
          <w:trHeight w:val="297"/>
        </w:trPr>
        <w:tc>
          <w:tcPr>
            <w:tcW w:w="560" w:type="dxa"/>
            <w:vAlign w:val="bottom"/>
          </w:tcPr>
          <w:p>
            <w:pPr>
              <w:spacing w:after="0"/>
              <w:rPr>
                <w:sz w:val="24"/>
                <w:szCs w:val="24"/>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rPr>
              <w:t>16.6</w:t>
            </w:r>
          </w:p>
        </w:tc>
        <w:tc>
          <w:tcPr>
            <w:tcW w:w="9480" w:type="dxa"/>
            <w:vAlign w:val="bottom"/>
            <w:gridSpan w:val="6"/>
          </w:tcPr>
          <w:p>
            <w:pPr>
              <w:spacing w:after="0"/>
              <w:rPr>
                <w:sz w:val="20"/>
                <w:szCs w:val="20"/>
                <w:color w:val="auto"/>
              </w:rPr>
            </w:pPr>
            <w:r>
              <w:rPr>
                <w:rFonts w:ascii="Arial" w:cs="Arial" w:eastAsia="Arial" w:hAnsi="Arial"/>
                <w:sz w:val="18"/>
                <w:szCs w:val="18"/>
                <w:color w:val="auto"/>
              </w:rPr>
              <w:t>Governing Law/Jurisdiction.</w:t>
            </w:r>
          </w:p>
        </w:tc>
      </w:tr>
      <w:tr>
        <w:trPr>
          <w:trHeight w:val="20"/>
        </w:trPr>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344"/>
        </w:trPr>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1"/>
              </w:rPr>
              <w:t>16.6.1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20" w:type="dxa"/>
            <w:vAlign w:val="bottom"/>
            <w:gridSpan w:val="3"/>
          </w:tcPr>
          <w:p>
            <w:pPr>
              <w:ind w:left="60"/>
              <w:spacing w:after="0"/>
              <w:rPr>
                <w:sz w:val="20"/>
                <w:szCs w:val="20"/>
                <w:color w:val="auto"/>
              </w:rPr>
            </w:pPr>
            <w:r>
              <w:rPr>
                <w:rFonts w:ascii="Arial" w:cs="Arial" w:eastAsia="Arial" w:hAnsi="Arial"/>
                <w:sz w:val="18"/>
                <w:szCs w:val="18"/>
                <w:color w:val="auto"/>
                <w:w w:val="91"/>
              </w:rPr>
              <w:t>This Agreement is governed in all respects by the laws of the State of New York without regard to its conflict of laws</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20" w:type="dxa"/>
            <w:vAlign w:val="bottom"/>
            <w:gridSpan w:val="3"/>
          </w:tcPr>
          <w:p>
            <w:pPr>
              <w:ind w:left="60"/>
              <w:spacing w:after="0"/>
              <w:rPr>
                <w:sz w:val="20"/>
                <w:szCs w:val="20"/>
                <w:color w:val="auto"/>
              </w:rPr>
            </w:pPr>
            <w:r>
              <w:rPr>
                <w:rFonts w:ascii="Arial" w:cs="Arial" w:eastAsia="Arial" w:hAnsi="Arial"/>
                <w:sz w:val="18"/>
                <w:szCs w:val="18"/>
                <w:color w:val="auto"/>
                <w:w w:val="91"/>
              </w:rPr>
              <w:t>rules. Subject to Clause 16.6.2, the Parties agree to submit to the jurisdiction of the courts in the State of New York.</w:t>
            </w:r>
          </w:p>
        </w:tc>
      </w:tr>
      <w:tr>
        <w:trPr>
          <w:trHeight w:val="323"/>
        </w:trPr>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1"/>
              </w:rPr>
              <w:t>16.6.2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20" w:type="dxa"/>
            <w:vAlign w:val="bottom"/>
            <w:gridSpan w:val="3"/>
          </w:tcPr>
          <w:p>
            <w:pPr>
              <w:ind w:left="60"/>
              <w:spacing w:after="0"/>
              <w:rPr>
                <w:sz w:val="20"/>
                <w:szCs w:val="20"/>
                <w:color w:val="auto"/>
              </w:rPr>
            </w:pPr>
            <w:r>
              <w:rPr>
                <w:rFonts w:ascii="Arial" w:cs="Arial" w:eastAsia="Arial" w:hAnsi="Arial"/>
                <w:sz w:val="18"/>
                <w:szCs w:val="18"/>
                <w:color w:val="auto"/>
                <w:w w:val="97"/>
              </w:rPr>
              <w:t>Any dispute arising between the Parties under this Agreement will be referred to and finally settled by binding</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20" w:type="dxa"/>
            <w:vAlign w:val="bottom"/>
            <w:gridSpan w:val="3"/>
          </w:tcPr>
          <w:p>
            <w:pPr>
              <w:ind w:left="60"/>
              <w:spacing w:after="0"/>
              <w:rPr>
                <w:sz w:val="20"/>
                <w:szCs w:val="20"/>
                <w:color w:val="auto"/>
              </w:rPr>
            </w:pPr>
            <w:r>
              <w:rPr>
                <w:rFonts w:ascii="Arial" w:cs="Arial" w:eastAsia="Arial" w:hAnsi="Arial"/>
                <w:sz w:val="18"/>
                <w:szCs w:val="18"/>
                <w:color w:val="auto"/>
              </w:rPr>
              <w:t>arbitration under the Rules of Arbitration of the International Chamber of Commerce by a single arbitrator</w:t>
            </w:r>
          </w:p>
        </w:tc>
      </w:tr>
      <w:tr>
        <w:trPr>
          <w:trHeight w:val="216"/>
        </w:trPr>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20" w:type="dxa"/>
            <w:vAlign w:val="bottom"/>
            <w:gridSpan w:val="3"/>
          </w:tcPr>
          <w:p>
            <w:pPr>
              <w:ind w:left="60"/>
              <w:spacing w:after="0"/>
              <w:rPr>
                <w:sz w:val="20"/>
                <w:szCs w:val="20"/>
                <w:color w:val="auto"/>
              </w:rPr>
            </w:pPr>
            <w:r>
              <w:rPr>
                <w:rFonts w:ascii="Arial" w:cs="Arial" w:eastAsia="Arial" w:hAnsi="Arial"/>
                <w:sz w:val="18"/>
                <w:szCs w:val="18"/>
                <w:color w:val="auto"/>
              </w:rPr>
              <w:t>knowledgeable in biopharmaceutical research and development related matters and familiar with the</w:t>
            </w:r>
          </w:p>
        </w:tc>
      </w:tr>
      <w:tr>
        <w:trPr>
          <w:trHeight w:val="230"/>
        </w:trPr>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20" w:type="dxa"/>
            <w:vAlign w:val="bottom"/>
            <w:gridSpan w:val="3"/>
          </w:tcPr>
          <w:p>
            <w:pPr>
              <w:ind w:left="60"/>
              <w:spacing w:after="0"/>
              <w:rPr>
                <w:sz w:val="20"/>
                <w:szCs w:val="20"/>
                <w:color w:val="auto"/>
              </w:rPr>
            </w:pPr>
            <w:r>
              <w:rPr>
                <w:rFonts w:ascii="Arial" w:cs="Arial" w:eastAsia="Arial" w:hAnsi="Arial"/>
                <w:sz w:val="18"/>
                <w:szCs w:val="18"/>
                <w:color w:val="auto"/>
                <w:w w:val="91"/>
              </w:rPr>
              <w:t>biopharmaceutical industry, appointed in accordance with the said Rules. The place of arbitration shall be New York,</w:t>
            </w:r>
          </w:p>
        </w:tc>
      </w:tr>
    </w:tbl>
    <w:p>
      <w:pPr>
        <w:jc w:val="both"/>
        <w:ind w:left="2960" w:right="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4">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New York and the arbitration shall be conducted in the English language. The arbitrator’s award shall be final and binding. The Parties covenant and agree that they will participate in the arbitration in good faith and that they will share equally the costs of the arbitration, except as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117" w:lineRule="exact"/>
        <w:rPr>
          <w:sz w:val="20"/>
          <w:szCs w:val="20"/>
          <w:color w:val="auto"/>
        </w:rPr>
      </w:pPr>
    </w:p>
    <w:p>
      <w:pPr>
        <w:ind w:right="740" w:firstLine="8"/>
        <w:spacing w:after="0" w:line="277" w:lineRule="auto"/>
        <w:tabs>
          <w:tab w:leader="none" w:pos="25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882" w:right="239" w:bottom="1440" w:gutter="0" w:footer="0" w:header="0"/>
        </w:sectPr>
      </w:pPr>
    </w:p>
    <w:bookmarkStart w:id="461" w:name="page462"/>
    <w:bookmarkEnd w:id="461"/>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CONFIDENTIAL</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100" w:type="dxa"/>
            <w:vAlign w:val="bottom"/>
          </w:tcPr>
          <w:p>
            <w:pPr>
              <w:spacing w:after="0"/>
              <w:rPr>
                <w:sz w:val="20"/>
                <w:szCs w:val="20"/>
                <w:color w:val="auto"/>
              </w:rPr>
            </w:pPr>
          </w:p>
        </w:tc>
      </w:tr>
      <w:tr>
        <w:trPr>
          <w:trHeight w:val="350"/>
        </w:trPr>
        <w:tc>
          <w:tcPr>
            <w:tcW w:w="1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540" w:type="dxa"/>
            <w:vAlign w:val="bottom"/>
            <w:gridSpan w:val="4"/>
          </w:tcPr>
          <w:p>
            <w:pPr>
              <w:ind w:left="100"/>
              <w:spacing w:after="0"/>
              <w:rPr>
                <w:sz w:val="20"/>
                <w:szCs w:val="20"/>
                <w:color w:val="auto"/>
              </w:rPr>
            </w:pPr>
            <w:r>
              <w:rPr>
                <w:rFonts w:ascii="Arial" w:cs="Arial" w:eastAsia="Arial" w:hAnsi="Arial"/>
                <w:sz w:val="18"/>
                <w:szCs w:val="18"/>
                <w:color w:val="auto"/>
                <w:w w:val="90"/>
              </w:rPr>
              <w:t>otherwise provided herein. Judgment upon the award rendered in any such arbitration may be entered in any court of</w:t>
            </w:r>
          </w:p>
        </w:tc>
      </w:tr>
      <w:tr>
        <w:trPr>
          <w:trHeight w:val="216"/>
        </w:trPr>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540" w:type="dxa"/>
            <w:vAlign w:val="bottom"/>
            <w:gridSpan w:val="4"/>
          </w:tcPr>
          <w:p>
            <w:pPr>
              <w:ind w:left="100"/>
              <w:spacing w:after="0"/>
              <w:rPr>
                <w:sz w:val="20"/>
                <w:szCs w:val="20"/>
                <w:color w:val="auto"/>
              </w:rPr>
            </w:pPr>
            <w:r>
              <w:rPr>
                <w:rFonts w:ascii="Arial" w:cs="Arial" w:eastAsia="Arial" w:hAnsi="Arial"/>
                <w:sz w:val="18"/>
                <w:szCs w:val="18"/>
                <w:color w:val="auto"/>
                <w:w w:val="96"/>
              </w:rPr>
              <w:t>competent jurisdiction, or application may be made to such court for a judicial acceptance of the award and an</w:t>
            </w:r>
          </w:p>
        </w:tc>
      </w:tr>
      <w:tr>
        <w:trPr>
          <w:trHeight w:val="216"/>
        </w:trPr>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540" w:type="dxa"/>
            <w:vAlign w:val="bottom"/>
            <w:gridSpan w:val="4"/>
          </w:tcPr>
          <w:p>
            <w:pPr>
              <w:ind w:left="100"/>
              <w:spacing w:after="0"/>
              <w:rPr>
                <w:sz w:val="20"/>
                <w:szCs w:val="20"/>
                <w:color w:val="auto"/>
              </w:rPr>
            </w:pPr>
            <w:r>
              <w:rPr>
                <w:rFonts w:ascii="Arial" w:cs="Arial" w:eastAsia="Arial" w:hAnsi="Arial"/>
                <w:sz w:val="18"/>
                <w:szCs w:val="18"/>
                <w:color w:val="auto"/>
                <w:w w:val="95"/>
              </w:rPr>
              <w:t>enforcement, as the law of such jurisdiction may require or allow. Notwithstanding the foregoing, nothing in this</w:t>
            </w:r>
          </w:p>
        </w:tc>
      </w:tr>
      <w:tr>
        <w:trPr>
          <w:trHeight w:val="216"/>
        </w:trPr>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540" w:type="dxa"/>
            <w:vAlign w:val="bottom"/>
            <w:gridSpan w:val="4"/>
          </w:tcPr>
          <w:p>
            <w:pPr>
              <w:ind w:left="100"/>
              <w:spacing w:after="0"/>
              <w:rPr>
                <w:sz w:val="20"/>
                <w:szCs w:val="20"/>
                <w:color w:val="auto"/>
              </w:rPr>
            </w:pPr>
            <w:r>
              <w:rPr>
                <w:rFonts w:ascii="Arial" w:cs="Arial" w:eastAsia="Arial" w:hAnsi="Arial"/>
                <w:sz w:val="18"/>
                <w:szCs w:val="18"/>
                <w:color w:val="auto"/>
                <w:w w:val="93"/>
              </w:rPr>
              <w:t>Clause 16.6 shall prevent either Party from applying to a court of competent jurisdiction for equitable or injunctive</w:t>
            </w:r>
          </w:p>
        </w:tc>
      </w:tr>
      <w:tr>
        <w:trPr>
          <w:trHeight w:val="230"/>
        </w:trPr>
        <w:tc>
          <w:tcPr>
            <w:tcW w:w="1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540" w:type="dxa"/>
            <w:vAlign w:val="bottom"/>
            <w:gridSpan w:val="4"/>
          </w:tcPr>
          <w:p>
            <w:pPr>
              <w:ind w:left="100"/>
              <w:spacing w:after="0"/>
              <w:rPr>
                <w:sz w:val="20"/>
                <w:szCs w:val="20"/>
                <w:color w:val="auto"/>
              </w:rPr>
            </w:pPr>
            <w:r>
              <w:rPr>
                <w:rFonts w:ascii="Arial" w:cs="Arial" w:eastAsia="Arial" w:hAnsi="Arial"/>
                <w:sz w:val="18"/>
                <w:szCs w:val="18"/>
                <w:color w:val="auto"/>
              </w:rPr>
              <w:t>relief.</w:t>
            </w:r>
          </w:p>
        </w:tc>
      </w:tr>
      <w:tr>
        <w:trPr>
          <w:trHeight w:val="297"/>
        </w:trPr>
        <w:tc>
          <w:tcPr>
            <w:tcW w:w="1940" w:type="dxa"/>
            <w:vAlign w:val="bottom"/>
          </w:tcPr>
          <w:p>
            <w:pPr>
              <w:ind w:left="920"/>
              <w:spacing w:after="0"/>
              <w:rPr>
                <w:sz w:val="20"/>
                <w:szCs w:val="20"/>
                <w:color w:val="auto"/>
              </w:rPr>
            </w:pPr>
            <w:r>
              <w:rPr>
                <w:rFonts w:ascii="Arial" w:cs="Arial" w:eastAsia="Arial" w:hAnsi="Arial"/>
                <w:sz w:val="18"/>
                <w:szCs w:val="18"/>
                <w:color w:val="auto"/>
              </w:rPr>
              <w:t>16.7</w:t>
            </w:r>
          </w:p>
        </w:tc>
        <w:tc>
          <w:tcPr>
            <w:tcW w:w="9460" w:type="dxa"/>
            <w:vAlign w:val="bottom"/>
            <w:gridSpan w:val="5"/>
          </w:tcPr>
          <w:p>
            <w:pPr>
              <w:spacing w:after="0"/>
              <w:rPr>
                <w:sz w:val="20"/>
                <w:szCs w:val="20"/>
                <w:color w:val="auto"/>
              </w:rPr>
            </w:pPr>
            <w:r>
              <w:rPr>
                <w:rFonts w:ascii="Arial" w:cs="Arial" w:eastAsia="Arial" w:hAnsi="Arial"/>
                <w:sz w:val="18"/>
                <w:szCs w:val="18"/>
                <w:color w:val="auto"/>
                <w:w w:val="90"/>
              </w:rPr>
              <w:t>Rights of Third Parties. The parties to this Agreement do not intend that any term hereof should be enforceable by any person who</w:t>
            </w:r>
          </w:p>
        </w:tc>
      </w:tr>
      <w:tr>
        <w:trPr>
          <w:trHeight w:val="20"/>
        </w:trPr>
        <w:tc>
          <w:tcPr>
            <w:tcW w:w="1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is not a party to this Agreement, save that Affiliates of Lonza and Affiliates of Forty Seven respectively may rely on the</w:t>
            </w:r>
          </w:p>
        </w:tc>
      </w:tr>
      <w:tr>
        <w:trPr>
          <w:trHeight w:val="216"/>
        </w:trPr>
        <w:tc>
          <w:tcPr>
            <w:tcW w:w="19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3"/>
              </w:rPr>
              <w:t>indemnities granted to them and limitations and exclusions of liability contained herein. The Parties may amend this Agreement</w:t>
            </w:r>
          </w:p>
        </w:tc>
      </w:tr>
      <w:tr>
        <w:trPr>
          <w:trHeight w:val="230"/>
        </w:trPr>
        <w:tc>
          <w:tcPr>
            <w:tcW w:w="194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without the consent of the Affiliates of either Party.</w:t>
            </w:r>
          </w:p>
        </w:tc>
      </w:tr>
      <w:tr>
        <w:trPr>
          <w:trHeight w:val="297"/>
        </w:trPr>
        <w:tc>
          <w:tcPr>
            <w:tcW w:w="1940" w:type="dxa"/>
            <w:vAlign w:val="bottom"/>
          </w:tcPr>
          <w:p>
            <w:pPr>
              <w:ind w:left="920"/>
              <w:spacing w:after="0"/>
              <w:rPr>
                <w:sz w:val="20"/>
                <w:szCs w:val="20"/>
                <w:color w:val="auto"/>
              </w:rPr>
            </w:pPr>
            <w:r>
              <w:rPr>
                <w:rFonts w:ascii="Arial" w:cs="Arial" w:eastAsia="Arial" w:hAnsi="Arial"/>
                <w:sz w:val="18"/>
                <w:szCs w:val="18"/>
                <w:color w:val="auto"/>
              </w:rPr>
              <w:t>16.8</w:t>
            </w:r>
          </w:p>
        </w:tc>
        <w:tc>
          <w:tcPr>
            <w:tcW w:w="9460" w:type="dxa"/>
            <w:vAlign w:val="bottom"/>
            <w:gridSpan w:val="5"/>
          </w:tcPr>
          <w:p>
            <w:pPr>
              <w:spacing w:after="0"/>
              <w:rPr>
                <w:sz w:val="20"/>
                <w:szCs w:val="20"/>
                <w:color w:val="auto"/>
              </w:rPr>
            </w:pPr>
            <w:r>
              <w:rPr>
                <w:rFonts w:ascii="Arial" w:cs="Arial" w:eastAsia="Arial" w:hAnsi="Arial"/>
                <w:sz w:val="18"/>
                <w:szCs w:val="18"/>
                <w:color w:val="auto"/>
                <w:w w:val="89"/>
              </w:rPr>
              <w:t>Announcements / Press Releases. Neither Party shall make any press release or announcement regarding the subject matter of this</w:t>
            </w:r>
          </w:p>
        </w:tc>
      </w:tr>
      <w:tr>
        <w:trPr>
          <w:trHeight w:val="20"/>
        </w:trPr>
        <w:tc>
          <w:tcPr>
            <w:tcW w:w="1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4"/>
              </w:rPr>
              <w:t>Agreement without the prior written consent of the other. The Parties shall use reasonable efforts to issue a joint press release</w:t>
            </w:r>
          </w:p>
        </w:tc>
      </w:tr>
      <w:tr>
        <w:trPr>
          <w:trHeight w:val="230"/>
        </w:trPr>
        <w:tc>
          <w:tcPr>
            <w:tcW w:w="194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within thirty (30) days of the Effective Date regarding the entry into this Agreement.</w:t>
            </w:r>
          </w:p>
        </w:tc>
      </w:tr>
      <w:tr>
        <w:trPr>
          <w:trHeight w:val="297"/>
        </w:trPr>
        <w:tc>
          <w:tcPr>
            <w:tcW w:w="1940" w:type="dxa"/>
            <w:vAlign w:val="bottom"/>
          </w:tcPr>
          <w:p>
            <w:pPr>
              <w:ind w:left="920"/>
              <w:spacing w:after="0"/>
              <w:rPr>
                <w:sz w:val="20"/>
                <w:szCs w:val="20"/>
                <w:color w:val="auto"/>
              </w:rPr>
            </w:pPr>
            <w:r>
              <w:rPr>
                <w:rFonts w:ascii="Arial" w:cs="Arial" w:eastAsia="Arial" w:hAnsi="Arial"/>
                <w:sz w:val="18"/>
                <w:szCs w:val="18"/>
                <w:color w:val="auto"/>
              </w:rPr>
              <w:t>16.9</w:t>
            </w: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Entire Agreement. This Agreement, including for clarity the Appendices hereto, contains the entire agreement between the Parties</w:t>
            </w:r>
          </w:p>
        </w:tc>
      </w:tr>
      <w:tr>
        <w:trPr>
          <w:trHeight w:val="20"/>
        </w:trPr>
        <w:tc>
          <w:tcPr>
            <w:tcW w:w="1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180" w:type="dxa"/>
            <w:vAlign w:val="bottom"/>
            <w:gridSpan w:val="3"/>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0"/>
              </w:rPr>
              <w:t>as to the subject matter hereof and supersedes all prior and contemporaneous agreements solely with respect to the subject matter</w:t>
            </w:r>
          </w:p>
        </w:tc>
      </w:tr>
      <w:tr>
        <w:trPr>
          <w:trHeight w:val="216"/>
        </w:trPr>
        <w:tc>
          <w:tcPr>
            <w:tcW w:w="194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4"/>
              </w:rPr>
              <w:t>hereof. For the avoidance of doubt, nothing in this Agreement is intended to or otherwise affects or amends the prior MSA, as</w:t>
            </w:r>
          </w:p>
        </w:tc>
      </w:tr>
      <w:tr>
        <w:trPr>
          <w:trHeight w:val="230"/>
        </w:trPr>
        <w:tc>
          <w:tcPr>
            <w:tcW w:w="194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amended or the GS Licence between Forty Seven and Lonza Sales AG.</w:t>
            </w:r>
          </w:p>
        </w:tc>
      </w:tr>
      <w:tr>
        <w:trPr>
          <w:trHeight w:val="297"/>
        </w:trPr>
        <w:tc>
          <w:tcPr>
            <w:tcW w:w="1940" w:type="dxa"/>
            <w:vAlign w:val="bottom"/>
          </w:tcPr>
          <w:p>
            <w:pPr>
              <w:ind w:left="920"/>
              <w:spacing w:after="0"/>
              <w:rPr>
                <w:sz w:val="20"/>
                <w:szCs w:val="20"/>
                <w:color w:val="auto"/>
              </w:rPr>
            </w:pPr>
            <w:r>
              <w:rPr>
                <w:rFonts w:ascii="Arial" w:cs="Arial" w:eastAsia="Arial" w:hAnsi="Arial"/>
                <w:sz w:val="18"/>
                <w:szCs w:val="18"/>
                <w:color w:val="auto"/>
              </w:rPr>
              <w:t>16.10</w:t>
            </w:r>
          </w:p>
        </w:tc>
        <w:tc>
          <w:tcPr>
            <w:tcW w:w="9460" w:type="dxa"/>
            <w:vAlign w:val="bottom"/>
            <w:gridSpan w:val="5"/>
          </w:tcPr>
          <w:p>
            <w:pPr>
              <w:spacing w:after="0"/>
              <w:rPr>
                <w:sz w:val="20"/>
                <w:szCs w:val="20"/>
                <w:color w:val="auto"/>
              </w:rPr>
            </w:pPr>
            <w:r>
              <w:rPr>
                <w:rFonts w:ascii="Arial" w:cs="Arial" w:eastAsia="Arial" w:hAnsi="Arial"/>
                <w:sz w:val="18"/>
                <w:szCs w:val="18"/>
                <w:color w:val="auto"/>
                <w:w w:val="92"/>
              </w:rPr>
              <w:t>Counterparts. This Agreement may be executed in any number of counterparts, each of which shall be deemed to be an original,</w:t>
            </w:r>
          </w:p>
        </w:tc>
      </w:tr>
      <w:tr>
        <w:trPr>
          <w:trHeight w:val="20"/>
        </w:trPr>
        <w:tc>
          <w:tcPr>
            <w:tcW w:w="1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540" w:type="dxa"/>
            <w:vAlign w:val="bottom"/>
            <w:gridSpan w:val="4"/>
          </w:tcPr>
          <w:p>
            <w:pPr>
              <w:spacing w:after="0" w:line="20" w:lineRule="exact"/>
              <w:rPr>
                <w:sz w:val="1"/>
                <w:szCs w:val="1"/>
                <w:color w:val="auto"/>
              </w:rPr>
            </w:pPr>
          </w:p>
        </w:tc>
      </w:tr>
      <w:tr>
        <w:trPr>
          <w:trHeight w:val="222"/>
        </w:trPr>
        <w:tc>
          <w:tcPr>
            <w:tcW w:w="1940" w:type="dxa"/>
            <w:vAlign w:val="bottom"/>
          </w:tcPr>
          <w:p>
            <w:pPr>
              <w:spacing w:after="0"/>
              <w:rPr>
                <w:sz w:val="19"/>
                <w:szCs w:val="19"/>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0"/>
              </w:rPr>
              <w:t>and all of which together shall constitute one and the same document. Each party acknowledges that an original signature or a copy</w:t>
            </w:r>
          </w:p>
        </w:tc>
      </w:tr>
      <w:tr>
        <w:trPr>
          <w:trHeight w:val="230"/>
        </w:trPr>
        <w:tc>
          <w:tcPr>
            <w:tcW w:w="194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thereof transmitted by facsimile or by .pdf shall constitute an original signature for purposes of this Agreement.</w:t>
            </w:r>
          </w:p>
        </w:tc>
      </w:tr>
      <w:tr>
        <w:trPr>
          <w:trHeight w:val="365"/>
        </w:trPr>
        <w:tc>
          <w:tcPr>
            <w:tcW w:w="1940" w:type="dxa"/>
            <w:vAlign w:val="bottom"/>
          </w:tcPr>
          <w:p>
            <w:pPr>
              <w:spacing w:after="0"/>
              <w:rPr>
                <w:sz w:val="24"/>
                <w:szCs w:val="24"/>
                <w:color w:val="auto"/>
              </w:rPr>
            </w:pPr>
          </w:p>
        </w:tc>
        <w:tc>
          <w:tcPr>
            <w:tcW w:w="9460" w:type="dxa"/>
            <w:vAlign w:val="bottom"/>
            <w:gridSpan w:val="5"/>
          </w:tcPr>
          <w:p>
            <w:pPr>
              <w:ind w:left="3680"/>
              <w:spacing w:after="0"/>
              <w:rPr>
                <w:sz w:val="20"/>
                <w:szCs w:val="20"/>
                <w:color w:val="auto"/>
              </w:rPr>
            </w:pPr>
            <w:r>
              <w:rPr>
                <w:rFonts w:ascii="Arial" w:cs="Arial" w:eastAsia="Arial" w:hAnsi="Arial"/>
                <w:sz w:val="18"/>
                <w:szCs w:val="18"/>
                <w:color w:val="auto"/>
              </w:rPr>
              <w:t>27</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6">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r>
    </w:p>
    <w:p>
      <w:pPr>
        <w:ind w:right="720" w:firstLine="8"/>
        <w:spacing w:after="0" w:line="277" w:lineRule="auto"/>
        <w:tabs>
          <w:tab w:leader="none" w:pos="25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882" w:right="259" w:bottom="1440" w:gutter="0" w:footer="0" w:header="0"/>
        </w:sectPr>
      </w:pPr>
    </w:p>
    <w:bookmarkStart w:id="462" w:name="page463"/>
    <w:bookmarkEnd w:id="4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WITNESS WHEREOF, each of the parties here too has caused this Agreement to be executed by its duly authorized representative effective as of the date written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LONZA BIOLOGICS TUAS PTE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Sylke Hassel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Sylke Hassel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  Head of Mammalian Manufacturing Business Unit</w:t>
      </w:r>
    </w:p>
    <w:p>
      <w:pPr>
        <w:spacing w:after="0" w:line="23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Andrew Morgan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General Manager, Singapore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FORTY SEVEN INC</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McCamish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Mark McCamish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CEO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117" w:lineRule="exact"/>
        <w:rPr>
          <w:sz w:val="20"/>
          <w:szCs w:val="20"/>
          <w:color w:val="auto"/>
        </w:rPr>
      </w:pPr>
    </w:p>
    <w:p>
      <w:pPr>
        <w:ind w:right="720" w:firstLine="8"/>
        <w:spacing w:after="0" w:line="277" w:lineRule="auto"/>
        <w:tabs>
          <w:tab w:leader="none" w:pos="255" w:val="left"/>
        </w:tabs>
        <w:numPr>
          <w:ilvl w:val="0"/>
          <w:numId w:val="55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881" w:right="259" w:bottom="1440" w:gutter="0" w:footer="0" w:header="0"/>
        </w:sectPr>
      </w:pPr>
    </w:p>
    <w:bookmarkStart w:id="463" w:name="page464"/>
    <w:bookmarkEnd w:id="4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3">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jc w:val="center"/>
        <w:ind w:right="-739"/>
        <w:spacing w:after="0"/>
        <w:rPr>
          <w:sz w:val="20"/>
          <w:szCs w:val="20"/>
          <w:color w:val="auto"/>
        </w:rPr>
      </w:pPr>
      <w:r>
        <w:rPr>
          <w:rFonts w:ascii="Arial" w:cs="Arial" w:eastAsia="Arial" w:hAnsi="Arial"/>
          <w:sz w:val="18"/>
          <w:szCs w:val="18"/>
          <w:i w:val="1"/>
          <w:iCs w:val="1"/>
          <w:color w:val="auto"/>
        </w:rPr>
        <w:t>Appendix A</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u w:val="single" w:color="auto"/>
          <w:color w:val="auto"/>
        </w:rPr>
        <w:t>Product and Project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(23 pages omitted)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117" w:lineRule="exact"/>
        <w:rPr>
          <w:sz w:val="20"/>
          <w:szCs w:val="20"/>
          <w:color w:val="auto"/>
        </w:rPr>
      </w:pPr>
    </w:p>
    <w:p>
      <w:pPr>
        <w:ind w:firstLine="8"/>
        <w:spacing w:after="0" w:line="277" w:lineRule="auto"/>
        <w:tabs>
          <w:tab w:leader="none" w:pos="255" w:val="left"/>
        </w:tabs>
        <w:numPr>
          <w:ilvl w:val="0"/>
          <w:numId w:val="55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240" w:top="881" w:right="979" w:bottom="1440" w:gutter="0" w:footer="0" w:header="0"/>
        </w:sectPr>
      </w:pPr>
    </w:p>
    <w:bookmarkStart w:id="464" w:name="page465"/>
    <w:bookmarkEnd w:id="4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5">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jc w:val="center"/>
        <w:ind w:right="-739"/>
        <w:spacing w:after="0"/>
        <w:rPr>
          <w:sz w:val="20"/>
          <w:szCs w:val="20"/>
          <w:color w:val="auto"/>
        </w:rPr>
      </w:pPr>
      <w:r>
        <w:rPr>
          <w:rFonts w:ascii="Arial" w:cs="Arial" w:eastAsia="Arial" w:hAnsi="Arial"/>
          <w:sz w:val="18"/>
          <w:szCs w:val="18"/>
          <w:i w:val="1"/>
          <w:iCs w:val="1"/>
          <w:color w:val="auto"/>
        </w:rPr>
        <w:t>Appendix B</w:t>
      </w:r>
    </w:p>
    <w:p>
      <w:pPr>
        <w:spacing w:after="0" w:line="225" w:lineRule="exact"/>
        <w:rPr>
          <w:sz w:val="20"/>
          <w:szCs w:val="20"/>
          <w:color w:val="auto"/>
        </w:rPr>
      </w:pPr>
    </w:p>
    <w:p>
      <w:pPr>
        <w:jc w:val="center"/>
        <w:ind w:right="-739"/>
        <w:spacing w:after="0"/>
        <w:rPr>
          <w:sz w:val="20"/>
          <w:szCs w:val="20"/>
          <w:color w:val="auto"/>
        </w:rPr>
      </w:pPr>
      <w:r>
        <w:rPr>
          <w:rFonts w:ascii="Arial" w:cs="Arial" w:eastAsia="Arial" w:hAnsi="Arial"/>
          <w:sz w:val="18"/>
          <w:szCs w:val="18"/>
          <w:u w:val="single" w:color="auto"/>
          <w:color w:val="auto"/>
        </w:rPr>
        <w:t>Price</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117" w:lineRule="exact"/>
        <w:rPr>
          <w:sz w:val="20"/>
          <w:szCs w:val="20"/>
          <w:color w:val="auto"/>
        </w:rPr>
      </w:pPr>
    </w:p>
    <w:p>
      <w:pPr>
        <w:ind w:firstLine="8"/>
        <w:spacing w:after="0" w:line="277" w:lineRule="auto"/>
        <w:tabs>
          <w:tab w:leader="none" w:pos="255" w:val="left"/>
        </w:tabs>
        <w:numPr>
          <w:ilvl w:val="0"/>
          <w:numId w:val="55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240" w:top="881" w:right="979" w:bottom="1440" w:gutter="0" w:footer="0" w:header="0"/>
        </w:sectPr>
      </w:pPr>
    </w:p>
    <w:bookmarkStart w:id="465" w:name="page466"/>
    <w:bookmarkEnd w:id="4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7">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jc w:val="center"/>
        <w:ind w:right="-739"/>
        <w:spacing w:after="0"/>
        <w:rPr>
          <w:sz w:val="20"/>
          <w:szCs w:val="20"/>
          <w:color w:val="auto"/>
        </w:rPr>
      </w:pPr>
      <w:r>
        <w:rPr>
          <w:rFonts w:ascii="Arial" w:cs="Arial" w:eastAsia="Arial" w:hAnsi="Arial"/>
          <w:sz w:val="18"/>
          <w:szCs w:val="18"/>
          <w:i w:val="1"/>
          <w:iCs w:val="1"/>
          <w:color w:val="auto"/>
        </w:rPr>
        <w:t>Appendix C</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u w:val="single" w:color="auto"/>
          <w:color w:val="auto"/>
        </w:rPr>
        <w:t>Quality Agreement</w:t>
      </w:r>
    </w:p>
    <w:p>
      <w:pPr>
        <w:spacing w:after="0" w:line="211"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31</w:t>
      </w:r>
    </w:p>
    <w:p>
      <w:pPr>
        <w:spacing w:after="0" w:line="117" w:lineRule="exact"/>
        <w:rPr>
          <w:sz w:val="20"/>
          <w:szCs w:val="20"/>
          <w:color w:val="auto"/>
        </w:rPr>
      </w:pPr>
    </w:p>
    <w:p>
      <w:pPr>
        <w:ind w:firstLine="8"/>
        <w:spacing w:after="0" w:line="277" w:lineRule="auto"/>
        <w:tabs>
          <w:tab w:leader="none" w:pos="255" w:val="left"/>
        </w:tabs>
        <w:numPr>
          <w:ilvl w:val="0"/>
          <w:numId w:val="55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240" w:top="881" w:right="979" w:bottom="1440" w:gutter="0" w:footer="0" w:header="0"/>
        </w:sectPr>
      </w:pPr>
    </w:p>
    <w:bookmarkStart w:id="466" w:name="page467"/>
    <w:bookmarkEnd w:id="4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9">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8" w:lineRule="exact"/>
        <w:rPr>
          <w:sz w:val="20"/>
          <w:szCs w:val="20"/>
          <w:color w:val="auto"/>
        </w:rPr>
      </w:pPr>
    </w:p>
    <w:p>
      <w:pPr>
        <w:jc w:val="center"/>
        <w:ind w:right="-739"/>
        <w:spacing w:after="0"/>
        <w:rPr>
          <w:sz w:val="20"/>
          <w:szCs w:val="20"/>
          <w:color w:val="auto"/>
        </w:rPr>
      </w:pPr>
      <w:r>
        <w:rPr>
          <w:rFonts w:ascii="Arial" w:cs="Arial" w:eastAsia="Arial" w:hAnsi="Arial"/>
          <w:sz w:val="18"/>
          <w:szCs w:val="18"/>
          <w:i w:val="1"/>
          <w:iCs w:val="1"/>
          <w:color w:val="auto"/>
        </w:rPr>
        <w:t>Appendix D</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u w:val="single" w:color="auto"/>
          <w:color w:val="auto"/>
        </w:rPr>
        <w:t>Specifications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(4 pages omitted)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firstLine="8"/>
        <w:spacing w:after="0" w:line="277" w:lineRule="auto"/>
        <w:tabs>
          <w:tab w:leader="none" w:pos="255" w:val="left"/>
        </w:tabs>
        <w:numPr>
          <w:ilvl w:val="0"/>
          <w:numId w:val="56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240" w:top="882" w:right="979" w:bottom="1440" w:gutter="0" w:footer="0" w:header="0"/>
        </w:sectPr>
      </w:pPr>
    </w:p>
    <w:bookmarkStart w:id="467" w:name="page468"/>
    <w:bookmarkEnd w:id="4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182880</wp:posOffset>
            </wp:positionV>
            <wp:extent cx="1080770" cy="2489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1">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CONFIDENTIAL</w:t>
      </w:r>
    </w:p>
    <w:p>
      <w:pPr>
        <w:spacing w:after="0" w:line="154"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Appendix 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117" w:lineRule="exact"/>
        <w:rPr>
          <w:sz w:val="20"/>
          <w:szCs w:val="20"/>
          <w:color w:val="auto"/>
        </w:rPr>
      </w:pPr>
    </w:p>
    <w:p>
      <w:pPr>
        <w:ind w:firstLine="8"/>
        <w:spacing w:after="0" w:line="277" w:lineRule="auto"/>
        <w:tabs>
          <w:tab w:leader="none" w:pos="25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240" w:top="881" w:right="979" w:bottom="1440" w:gutter="0" w:footer="0" w:header="0"/>
        </w:sectPr>
      </w:pPr>
    </w:p>
    <w:bookmarkStart w:id="468" w:name="page469"/>
    <w:bookmarkEnd w:id="46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22, 2018 (except for the last paragraph of Note 1, as to which the date is June 15, 2018) in Amendment No. 2 to the Registration Statement (Form S-1 No. 333-225390) and related Prospectus of Forty Seven, Inc. for the registration of 6,700,000 shares of its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410ED56"/>
    <w:multiLevelType w:val="hybridMultilevel"/>
    <w:lvl w:ilvl="0">
      <w:lvlJc w:val="left"/>
      <w:lvlText w:val="(%1)"/>
      <w:numFmt w:val="decimal"/>
      <w:start w:val="1"/>
    </w:lvl>
  </w:abstractNum>
  <w:abstractNum w:abstractNumId="1">
    <w:nsid w:val="23C049A"/>
    <w:multiLevelType w:val="hybridMultilevel"/>
    <w:lvl w:ilvl="0">
      <w:lvlJc w:val="left"/>
      <w:lvlText w:val="(%1)"/>
      <w:numFmt w:val="decimal"/>
      <w:start w:val="1"/>
    </w:lvl>
  </w:abstractNum>
  <w:abstractNum w:abstractNumId="2">
    <w:nsid w:val="5BDA35D4"/>
    <w:multiLevelType w:val="hybridMultilevel"/>
    <w:lvl w:ilvl="0">
      <w:lvlJc w:val="left"/>
      <w:lvlText w:val="•"/>
      <w:numFmt w:val="bullet"/>
      <w:start w:val="1"/>
    </w:lvl>
  </w:abstractNum>
  <w:abstractNum w:abstractNumId="3">
    <w:nsid w:val="496FB218"/>
    <w:multiLevelType w:val="hybridMultilevel"/>
    <w:lvl w:ilvl="0">
      <w:lvlJc w:val="left"/>
      <w:lvlText w:val="•"/>
      <w:numFmt w:val="bullet"/>
      <w:start w:val="1"/>
    </w:lvl>
  </w:abstractNum>
  <w:abstractNum w:abstractNumId="4">
    <w:nsid w:val="680EA5D1"/>
    <w:multiLevelType w:val="hybridMultilevel"/>
    <w:lvl w:ilvl="0">
      <w:lvlJc w:val="left"/>
      <w:lvlText w:val="•"/>
      <w:numFmt w:val="bullet"/>
      <w:start w:val="1"/>
    </w:lvl>
  </w:abstractNum>
  <w:abstractNum w:abstractNumId="5">
    <w:nsid w:val="4A9554FE"/>
    <w:multiLevelType w:val="hybridMultilevel"/>
    <w:lvl w:ilvl="0">
      <w:lvlJc w:val="left"/>
      <w:lvlText w:val="•"/>
      <w:numFmt w:val="bullet"/>
      <w:start w:val="1"/>
    </w:lvl>
  </w:abstractNum>
  <w:abstractNum w:abstractNumId="6">
    <w:nsid w:val="392EDBE4"/>
    <w:multiLevelType w:val="hybridMultilevel"/>
    <w:lvl w:ilvl="0">
      <w:lvlJc w:val="left"/>
      <w:lvlText w:val="•"/>
      <w:numFmt w:val="bullet"/>
      <w:start w:val="1"/>
    </w:lvl>
  </w:abstractNum>
  <w:abstractNum w:abstractNumId="7">
    <w:nsid w:val="3D1A2DD9"/>
    <w:multiLevelType w:val="hybridMultilevel"/>
    <w:lvl w:ilvl="0">
      <w:lvlJc w:val="left"/>
      <w:lvlText w:val="•"/>
      <w:numFmt w:val="bullet"/>
      <w:start w:val="1"/>
    </w:lvl>
  </w:abstractNum>
  <w:abstractNum w:abstractNumId="8">
    <w:nsid w:val="7F618FCD"/>
    <w:multiLevelType w:val="hybridMultilevel"/>
    <w:lvl w:ilvl="0">
      <w:lvlJc w:val="left"/>
      <w:lvlText w:val="•"/>
      <w:numFmt w:val="bullet"/>
      <w:start w:val="1"/>
    </w:lvl>
  </w:abstractNum>
  <w:abstractNum w:abstractNumId="9">
    <w:nsid w:val="7843E45"/>
    <w:multiLevelType w:val="hybridMultilevel"/>
    <w:lvl w:ilvl="0">
      <w:lvlJc w:val="left"/>
      <w:lvlText w:val="(%1)"/>
      <w:numFmt w:val="decimal"/>
      <w:start w:val="1"/>
    </w:lvl>
  </w:abstractNum>
  <w:abstractNum w:abstractNumId="10">
    <w:nsid w:val="9815DA3"/>
    <w:multiLevelType w:val="hybridMultilevel"/>
    <w:lvl w:ilvl="0">
      <w:lvlJc w:val="left"/>
      <w:lvlText w:val="(%1)"/>
      <w:numFmt w:val="decimal"/>
      <w:start w:val="1"/>
    </w:lvl>
  </w:abstractNum>
  <w:abstractNum w:abstractNumId="11">
    <w:nsid w:val="5204A191"/>
    <w:multiLevelType w:val="hybridMultilevel"/>
    <w:lvl w:ilvl="0">
      <w:lvlJc w:val="left"/>
      <w:lvlText w:val="•"/>
      <w:numFmt w:val="bullet"/>
      <w:start w:val="1"/>
    </w:lvl>
  </w:abstractNum>
  <w:abstractNum w:abstractNumId="12">
    <w:nsid w:val="4C73A9C6"/>
    <w:multiLevelType w:val="hybridMultilevel"/>
    <w:lvl w:ilvl="0">
      <w:lvlJc w:val="left"/>
      <w:lvlText w:val="•"/>
      <w:numFmt w:val="bullet"/>
      <w:start w:val="1"/>
    </w:lvl>
  </w:abstractNum>
  <w:abstractNum w:abstractNumId="13">
    <w:nsid w:val="1C7E3C01"/>
    <w:multiLevelType w:val="hybridMultilevel"/>
    <w:lvl w:ilvl="0">
      <w:lvlJc w:val="left"/>
      <w:lvlText w:val="•"/>
      <w:numFmt w:val="bullet"/>
      <w:start w:val="1"/>
    </w:lvl>
  </w:abstractNum>
  <w:abstractNum w:abstractNumId="14">
    <w:nsid w:val="1C2201FF"/>
    <w:multiLevelType w:val="hybridMultilevel"/>
    <w:lvl w:ilvl="0">
      <w:lvlJc w:val="left"/>
      <w:lvlText w:val="•"/>
      <w:numFmt w:val="bullet"/>
      <w:start w:val="1"/>
    </w:lvl>
  </w:abstractNum>
  <w:abstractNum w:abstractNumId="15">
    <w:nsid w:val="50ABCEC9"/>
    <w:multiLevelType w:val="hybridMultilevel"/>
    <w:lvl w:ilvl="0">
      <w:lvlJc w:val="left"/>
      <w:lvlText w:val="•"/>
      <w:numFmt w:val="bullet"/>
      <w:start w:val="1"/>
    </w:lvl>
  </w:abstractNum>
  <w:abstractNum w:abstractNumId="16">
    <w:nsid w:val="7635AA2A"/>
    <w:multiLevelType w:val="hybridMultilevel"/>
    <w:lvl w:ilvl="0">
      <w:lvlJc w:val="left"/>
      <w:lvlText w:val="•"/>
      <w:numFmt w:val="bullet"/>
      <w:start w:val="1"/>
    </w:lvl>
  </w:abstractNum>
  <w:abstractNum w:abstractNumId="17">
    <w:nsid w:val="5E74C4D9"/>
    <w:multiLevelType w:val="hybridMultilevel"/>
    <w:lvl w:ilvl="0">
      <w:lvlJc w:val="left"/>
      <w:lvlText w:val="•"/>
      <w:numFmt w:val="bullet"/>
      <w:start w:val="1"/>
    </w:lvl>
  </w:abstractNum>
  <w:abstractNum w:abstractNumId="18">
    <w:nsid w:val="3B3EBE15"/>
    <w:multiLevelType w:val="hybridMultilevel"/>
    <w:lvl w:ilvl="0">
      <w:lvlJc w:val="left"/>
      <w:lvlText w:val="•"/>
      <w:numFmt w:val="bullet"/>
      <w:start w:val="1"/>
    </w:lvl>
  </w:abstractNum>
  <w:abstractNum w:abstractNumId="19">
    <w:nsid w:val="3822CB01"/>
    <w:multiLevelType w:val="hybridMultilevel"/>
    <w:lvl w:ilvl="0">
      <w:lvlJc w:val="left"/>
      <w:lvlText w:val="•"/>
      <w:numFmt w:val="bullet"/>
      <w:start w:val="1"/>
    </w:lvl>
  </w:abstractNum>
  <w:abstractNum w:abstractNumId="20">
    <w:nsid w:val="6CE00443"/>
    <w:multiLevelType w:val="hybridMultilevel"/>
    <w:lvl w:ilvl="0">
      <w:lvlJc w:val="left"/>
      <w:lvlText w:val="•"/>
      <w:numFmt w:val="bullet"/>
      <w:start w:val="1"/>
    </w:lvl>
  </w:abstractNum>
  <w:abstractNum w:abstractNumId="21">
    <w:nsid w:val="79F0D62F"/>
    <w:multiLevelType w:val="hybridMultilevel"/>
    <w:lvl w:ilvl="0">
      <w:lvlJc w:val="left"/>
      <w:lvlText w:val="•"/>
      <w:numFmt w:val="bullet"/>
      <w:start w:val="1"/>
    </w:lvl>
  </w:abstractNum>
  <w:abstractNum w:abstractNumId="22">
    <w:nsid w:val="7975E8EE"/>
    <w:multiLevelType w:val="hybridMultilevel"/>
    <w:lvl w:ilvl="0">
      <w:lvlJc w:val="left"/>
      <w:lvlText w:val="•"/>
      <w:numFmt w:val="bullet"/>
      <w:start w:val="1"/>
    </w:lvl>
  </w:abstractNum>
  <w:abstractNum w:abstractNumId="23">
    <w:nsid w:val="73154115"/>
    <w:multiLevelType w:val="hybridMultilevel"/>
    <w:lvl w:ilvl="0">
      <w:lvlJc w:val="left"/>
      <w:lvlText w:val="•"/>
      <w:numFmt w:val="bullet"/>
      <w:start w:val="1"/>
    </w:lvl>
  </w:abstractNum>
  <w:abstractNum w:abstractNumId="24">
    <w:nsid w:val="622D8102"/>
    <w:multiLevelType w:val="hybridMultilevel"/>
    <w:lvl w:ilvl="0">
      <w:lvlJc w:val="left"/>
      <w:lvlText w:val="•"/>
      <w:numFmt w:val="bullet"/>
      <w:start w:val="1"/>
    </w:lvl>
  </w:abstractNum>
  <w:abstractNum w:abstractNumId="25">
    <w:nsid w:val="2AB26587"/>
    <w:multiLevelType w:val="hybridMultilevel"/>
    <w:lvl w:ilvl="0">
      <w:lvlJc w:val="left"/>
      <w:lvlText w:val="•"/>
      <w:numFmt w:val="bullet"/>
      <w:start w:val="1"/>
    </w:lvl>
  </w:abstractNum>
  <w:abstractNum w:abstractNumId="26">
    <w:nsid w:val="44B3FA61"/>
    <w:multiLevelType w:val="hybridMultilevel"/>
    <w:lvl w:ilvl="0">
      <w:lvlJc w:val="left"/>
      <w:lvlText w:val="•"/>
      <w:numFmt w:val="bullet"/>
      <w:start w:val="1"/>
    </w:lvl>
  </w:abstractNum>
  <w:abstractNum w:abstractNumId="27">
    <w:nsid w:val="1C0CA67C"/>
    <w:multiLevelType w:val="hybridMultilevel"/>
    <w:lvl w:ilvl="0">
      <w:lvlJc w:val="left"/>
      <w:lvlText w:val="•"/>
      <w:numFmt w:val="bullet"/>
      <w:start w:val="1"/>
    </w:lvl>
  </w:abstractNum>
  <w:abstractNum w:abstractNumId="28">
    <w:nsid w:val="3D206613"/>
    <w:multiLevelType w:val="hybridMultilevel"/>
    <w:lvl w:ilvl="0">
      <w:lvlJc w:val="left"/>
      <w:lvlText w:val="•"/>
      <w:numFmt w:val="bullet"/>
      <w:start w:val="1"/>
    </w:lvl>
  </w:abstractNum>
  <w:abstractNum w:abstractNumId="29">
    <w:nsid w:val="7993B662"/>
    <w:multiLevelType w:val="hybridMultilevel"/>
    <w:lvl w:ilvl="0">
      <w:lvlJc w:val="left"/>
      <w:lvlText w:val="•"/>
      <w:numFmt w:val="bullet"/>
      <w:start w:val="1"/>
    </w:lvl>
  </w:abstractNum>
  <w:abstractNum w:abstractNumId="30">
    <w:nsid w:val="3BAB699E"/>
    <w:multiLevelType w:val="hybridMultilevel"/>
    <w:lvl w:ilvl="0">
      <w:lvlJc w:val="left"/>
      <w:lvlText w:val="•"/>
      <w:numFmt w:val="bullet"/>
      <w:start w:val="1"/>
    </w:lvl>
  </w:abstractNum>
  <w:abstractNum w:abstractNumId="31">
    <w:nsid w:val="71315369"/>
    <w:multiLevelType w:val="hybridMultilevel"/>
    <w:lvl w:ilvl="0">
      <w:lvlJc w:val="left"/>
      <w:lvlText w:val="•"/>
      <w:numFmt w:val="bullet"/>
      <w:start w:val="1"/>
    </w:lvl>
  </w:abstractNum>
  <w:abstractNum w:abstractNumId="32">
    <w:nsid w:val="7BCFBAFC"/>
    <w:multiLevelType w:val="hybridMultilevel"/>
    <w:lvl w:ilvl="0">
      <w:lvlJc w:val="left"/>
      <w:lvlText w:val="•"/>
      <w:numFmt w:val="bullet"/>
      <w:start w:val="1"/>
    </w:lvl>
  </w:abstractNum>
  <w:abstractNum w:abstractNumId="33">
    <w:nsid w:val="17859F72"/>
    <w:multiLevelType w:val="hybridMultilevel"/>
    <w:lvl w:ilvl="0">
      <w:lvlJc w:val="left"/>
      <w:lvlText w:val="•"/>
      <w:numFmt w:val="bullet"/>
      <w:start w:val="1"/>
    </w:lvl>
  </w:abstractNum>
  <w:abstractNum w:abstractNumId="34">
    <w:nsid w:val="3AA10581"/>
    <w:multiLevelType w:val="hybridMultilevel"/>
    <w:lvl w:ilvl="0">
      <w:lvlJc w:val="left"/>
      <w:lvlText w:val="•"/>
      <w:numFmt w:val="bullet"/>
      <w:start w:val="1"/>
    </w:lvl>
  </w:abstractNum>
  <w:abstractNum w:abstractNumId="35">
    <w:nsid w:val="63DE60CD"/>
    <w:multiLevelType w:val="hybridMultilevel"/>
    <w:lvl w:ilvl="0">
      <w:lvlJc w:val="left"/>
      <w:lvlText w:val="•"/>
      <w:numFmt w:val="bullet"/>
      <w:start w:val="1"/>
    </w:lvl>
  </w:abstractNum>
  <w:abstractNum w:abstractNumId="36">
    <w:nsid w:val="621AF471"/>
    <w:multiLevelType w:val="hybridMultilevel"/>
    <w:lvl w:ilvl="0">
      <w:lvlJc w:val="left"/>
      <w:lvlText w:val="•"/>
      <w:numFmt w:val="bullet"/>
      <w:start w:val="1"/>
    </w:lvl>
  </w:abstractNum>
  <w:abstractNum w:abstractNumId="37">
    <w:nsid w:val="73CFE165"/>
    <w:multiLevelType w:val="hybridMultilevel"/>
    <w:lvl w:ilvl="0">
      <w:lvlJc w:val="left"/>
      <w:lvlText w:val="•"/>
      <w:numFmt w:val="bullet"/>
      <w:start w:val="1"/>
    </w:lvl>
  </w:abstractNum>
  <w:abstractNum w:abstractNumId="38">
    <w:nsid w:val="20F88EA6"/>
    <w:multiLevelType w:val="hybridMultilevel"/>
    <w:lvl w:ilvl="0">
      <w:lvlJc w:val="left"/>
      <w:lvlText w:val="(%1)"/>
      <w:numFmt w:val="decimal"/>
      <w:start w:val="1"/>
    </w:lvl>
  </w:abstractNum>
  <w:abstractNum w:abstractNumId="39">
    <w:nsid w:val="617C843E"/>
    <w:multiLevelType w:val="hybridMultilevel"/>
    <w:lvl w:ilvl="0">
      <w:lvlJc w:val="left"/>
      <w:lvlText w:val="•"/>
      <w:numFmt w:val="bullet"/>
      <w:start w:val="1"/>
    </w:lvl>
  </w:abstractNum>
  <w:abstractNum w:abstractNumId="40">
    <w:nsid w:val="7B541FAB"/>
    <w:multiLevelType w:val="hybridMultilevel"/>
    <w:lvl w:ilvl="0">
      <w:lvlJc w:val="left"/>
      <w:lvlText w:val="•"/>
      <w:numFmt w:val="bullet"/>
      <w:start w:val="1"/>
    </w:lvl>
  </w:abstractNum>
  <w:abstractNum w:abstractNumId="41">
    <w:nsid w:val="2A79EC49"/>
    <w:multiLevelType w:val="hybridMultilevel"/>
    <w:lvl w:ilvl="0">
      <w:lvlJc w:val="left"/>
      <w:lvlText w:val="•"/>
      <w:numFmt w:val="bullet"/>
      <w:start w:val="1"/>
    </w:lvl>
  </w:abstractNum>
  <w:abstractNum w:abstractNumId="42">
    <w:nsid w:val="338125CF"/>
    <w:multiLevelType w:val="hybridMultilevel"/>
    <w:lvl w:ilvl="0">
      <w:lvlJc w:val="left"/>
      <w:lvlText w:val="•"/>
      <w:numFmt w:val="bullet"/>
      <w:start w:val="1"/>
    </w:lvl>
  </w:abstractNum>
  <w:abstractNum w:abstractNumId="43">
    <w:nsid w:val="47C7C971"/>
    <w:multiLevelType w:val="hybridMultilevel"/>
    <w:lvl w:ilvl="0">
      <w:lvlJc w:val="left"/>
      <w:lvlText w:val="(%1)"/>
      <w:numFmt w:val="decimal"/>
      <w:start w:val="1"/>
    </w:lvl>
  </w:abstractNum>
  <w:abstractNum w:abstractNumId="44">
    <w:nsid w:val="46F8284B"/>
    <w:multiLevelType w:val="hybridMultilevel"/>
    <w:lvl w:ilvl="0">
      <w:lvlJc w:val="left"/>
      <w:lvlText w:val="•"/>
      <w:numFmt w:val="bullet"/>
      <w:start w:val="1"/>
    </w:lvl>
  </w:abstractNum>
  <w:abstractNum w:abstractNumId="45">
    <w:nsid w:val="4FA327CE"/>
    <w:multiLevelType w:val="hybridMultilevel"/>
    <w:lvl w:ilvl="0">
      <w:lvlJc w:val="left"/>
      <w:lvlText w:val="•"/>
      <w:numFmt w:val="bullet"/>
      <w:start w:val="1"/>
    </w:lvl>
  </w:abstractNum>
  <w:abstractNum w:abstractNumId="46">
    <w:nsid w:val="1873983A"/>
    <w:multiLevelType w:val="hybridMultilevel"/>
    <w:lvl w:ilvl="0">
      <w:lvlJc w:val="left"/>
      <w:lvlText w:val="•"/>
      <w:numFmt w:val="bullet"/>
      <w:start w:val="1"/>
    </w:lvl>
  </w:abstractNum>
  <w:abstractNum w:abstractNumId="47">
    <w:nsid w:val="3D2DD275"/>
    <w:multiLevelType w:val="hybridMultilevel"/>
    <w:lvl w:ilvl="0">
      <w:lvlJc w:val="left"/>
      <w:lvlText w:val="•"/>
      <w:numFmt w:val="bullet"/>
      <w:start w:val="1"/>
    </w:lvl>
  </w:abstractNum>
  <w:abstractNum w:abstractNumId="48">
    <w:nsid w:val="2E17ECA7"/>
    <w:multiLevelType w:val="hybridMultilevel"/>
    <w:lvl w:ilvl="0">
      <w:lvlJc w:val="left"/>
      <w:lvlText w:val="•"/>
      <w:numFmt w:val="bullet"/>
      <w:start w:val="1"/>
    </w:lvl>
  </w:abstractNum>
  <w:abstractNum w:abstractNumId="49">
    <w:nsid w:val="53B2564F"/>
    <w:multiLevelType w:val="hybridMultilevel"/>
    <w:lvl w:ilvl="0">
      <w:lvlJc w:val="left"/>
      <w:lvlText w:val="•"/>
      <w:numFmt w:val="bullet"/>
      <w:start w:val="1"/>
    </w:lvl>
  </w:abstractNum>
  <w:abstractNum w:abstractNumId="50">
    <w:nsid w:val="75509D76"/>
    <w:multiLevelType w:val="hybridMultilevel"/>
    <w:lvl w:ilvl="0">
      <w:lvlJc w:val="left"/>
      <w:lvlText w:val="•"/>
      <w:numFmt w:val="bullet"/>
      <w:start w:val="1"/>
    </w:lvl>
  </w:abstractNum>
  <w:abstractNum w:abstractNumId="51">
    <w:nsid w:val="1AF7F0EA"/>
    <w:multiLevelType w:val="hybridMultilevel"/>
    <w:lvl w:ilvl="0">
      <w:lvlJc w:val="left"/>
      <w:lvlText w:val="•"/>
      <w:numFmt w:val="bullet"/>
      <w:start w:val="1"/>
    </w:lvl>
  </w:abstractNum>
  <w:abstractNum w:abstractNumId="52">
    <w:nsid w:val="4DA32C7E"/>
    <w:multiLevelType w:val="hybridMultilevel"/>
    <w:lvl w:ilvl="0">
      <w:lvlJc w:val="left"/>
      <w:lvlText w:val="•"/>
      <w:numFmt w:val="bullet"/>
      <w:start w:val="1"/>
    </w:lvl>
  </w:abstractNum>
  <w:abstractNum w:abstractNumId="53">
    <w:nsid w:val="6EC68664"/>
    <w:multiLevelType w:val="hybridMultilevel"/>
    <w:lvl w:ilvl="0">
      <w:lvlJc w:val="left"/>
      <w:lvlText w:val="•"/>
      <w:numFmt w:val="bullet"/>
      <w:start w:val="1"/>
    </w:lvl>
  </w:abstractNum>
  <w:abstractNum w:abstractNumId="54">
    <w:nsid w:val="E0D31FF"/>
    <w:multiLevelType w:val="hybridMultilevel"/>
    <w:lvl w:ilvl="0">
      <w:lvlJc w:val="left"/>
      <w:lvlText w:val="•"/>
      <w:numFmt w:val="bullet"/>
      <w:start w:val="1"/>
    </w:lvl>
  </w:abstractNum>
  <w:abstractNum w:abstractNumId="55">
    <w:nsid w:val="2FD0AD81"/>
    <w:multiLevelType w:val="hybridMultilevel"/>
    <w:lvl w:ilvl="0">
      <w:lvlJc w:val="left"/>
      <w:lvlText w:val="•"/>
      <w:numFmt w:val="bullet"/>
      <w:start w:val="1"/>
    </w:lvl>
  </w:abstractNum>
  <w:abstractNum w:abstractNumId="56">
    <w:nsid w:val="1978EBEB"/>
    <w:multiLevelType w:val="hybridMultilevel"/>
    <w:lvl w:ilvl="0">
      <w:lvlJc w:val="left"/>
      <w:lvlText w:val="•"/>
      <w:numFmt w:val="bullet"/>
      <w:start w:val="1"/>
    </w:lvl>
  </w:abstractNum>
  <w:abstractNum w:abstractNumId="57">
    <w:nsid w:val="52C12C61"/>
    <w:multiLevelType w:val="hybridMultilevel"/>
    <w:lvl w:ilvl="0">
      <w:lvlJc w:val="left"/>
      <w:lvlText w:val="•"/>
      <w:numFmt w:val="bullet"/>
      <w:start w:val="1"/>
    </w:lvl>
  </w:abstractNum>
  <w:abstractNum w:abstractNumId="58">
    <w:nsid w:val="4BDD53FD"/>
    <w:multiLevelType w:val="hybridMultilevel"/>
    <w:lvl w:ilvl="0">
      <w:lvlJc w:val="left"/>
      <w:lvlText w:val="•"/>
      <w:numFmt w:val="bullet"/>
      <w:start w:val="1"/>
    </w:lvl>
  </w:abstractNum>
  <w:abstractNum w:abstractNumId="59">
    <w:nsid w:val="569951FE"/>
    <w:multiLevelType w:val="hybridMultilevel"/>
    <w:lvl w:ilvl="0">
      <w:lvlJc w:val="left"/>
      <w:lvlText w:val="•"/>
      <w:numFmt w:val="bullet"/>
      <w:start w:val="1"/>
    </w:lvl>
  </w:abstractNum>
  <w:abstractNum w:abstractNumId="60">
    <w:nsid w:val="4C54E2C3"/>
    <w:multiLevelType w:val="hybridMultilevel"/>
    <w:lvl w:ilvl="0">
      <w:lvlJc w:val="left"/>
      <w:lvlText w:val="(%1)"/>
      <w:numFmt w:val="decimal"/>
      <w:start w:val="1"/>
    </w:lvl>
  </w:abstractNum>
  <w:abstractNum w:abstractNumId="61">
    <w:nsid w:val="788BD9B"/>
    <w:multiLevelType w:val="hybridMultilevel"/>
    <w:lvl w:ilvl="0">
      <w:lvlJc w:val="left"/>
      <w:lvlText w:val="(%1)"/>
      <w:numFmt w:val="decimal"/>
      <w:start w:val="3"/>
    </w:lvl>
  </w:abstractNum>
  <w:abstractNum w:abstractNumId="62">
    <w:nsid w:val="47CAA567"/>
    <w:multiLevelType w:val="hybridMultilevel"/>
    <w:lvl w:ilvl="0">
      <w:lvlJc w:val="left"/>
      <w:lvlText w:val="•"/>
      <w:numFmt w:val="bullet"/>
      <w:start w:val="1"/>
    </w:lvl>
  </w:abstractNum>
  <w:abstractNum w:abstractNumId="63">
    <w:nsid w:val="48249DBF"/>
    <w:multiLevelType w:val="hybridMultilevel"/>
    <w:lvl w:ilvl="0">
      <w:lvlJc w:val="left"/>
      <w:lvlText w:val="•"/>
      <w:numFmt w:val="bullet"/>
      <w:start w:val="1"/>
    </w:lvl>
  </w:abstractNum>
  <w:abstractNum w:abstractNumId="64">
    <w:nsid w:val="1F0E5D0D"/>
    <w:multiLevelType w:val="hybridMultilevel"/>
    <w:lvl w:ilvl="0">
      <w:lvlJc w:val="left"/>
      <w:lvlText w:val="•"/>
      <w:numFmt w:val="bullet"/>
      <w:start w:val="1"/>
    </w:lvl>
  </w:abstractNum>
  <w:abstractNum w:abstractNumId="65">
    <w:nsid w:val="26BAAE9"/>
    <w:multiLevelType w:val="hybridMultilevel"/>
    <w:lvl w:ilvl="0">
      <w:lvlJc w:val="left"/>
      <w:lvlText w:val="•"/>
      <w:numFmt w:val="bullet"/>
      <w:start w:val="1"/>
    </w:lvl>
  </w:abstractNum>
  <w:abstractNum w:abstractNumId="66">
    <w:nsid w:val="2C02FE8C"/>
    <w:multiLevelType w:val="hybridMultilevel"/>
    <w:lvl w:ilvl="0">
      <w:lvlJc w:val="left"/>
      <w:lvlText w:val="•"/>
      <w:numFmt w:val="bullet"/>
      <w:start w:val="1"/>
    </w:lvl>
  </w:abstractNum>
  <w:abstractNum w:abstractNumId="67">
    <w:nsid w:val="129517E"/>
    <w:multiLevelType w:val="hybridMultilevel"/>
    <w:lvl w:ilvl="0">
      <w:lvlJc w:val="left"/>
      <w:lvlText w:val="•"/>
      <w:numFmt w:val="bullet"/>
      <w:start w:val="1"/>
    </w:lvl>
  </w:abstractNum>
  <w:abstractNum w:abstractNumId="68">
    <w:nsid w:val="763B8C4E"/>
    <w:multiLevelType w:val="hybridMultilevel"/>
    <w:lvl w:ilvl="0">
      <w:lvlJc w:val="left"/>
      <w:lvlText w:val="•"/>
      <w:numFmt w:val="bullet"/>
      <w:start w:val="1"/>
    </w:lvl>
  </w:abstractNum>
  <w:abstractNum w:abstractNumId="69">
    <w:nsid w:val="4CFB8D32"/>
    <w:multiLevelType w:val="hybridMultilevel"/>
    <w:lvl w:ilvl="0">
      <w:lvlJc w:val="left"/>
      <w:lvlText w:val="(%1)"/>
      <w:numFmt w:val="decimal"/>
      <w:start w:val="1"/>
    </w:lvl>
  </w:abstractNum>
  <w:abstractNum w:abstractNumId="70">
    <w:nsid w:val="62A5D5BD"/>
    <w:multiLevelType w:val="hybridMultilevel"/>
    <w:lvl w:ilvl="0">
      <w:lvlJc w:val="left"/>
      <w:lvlText w:val="(%1)"/>
      <w:numFmt w:val="decimal"/>
      <w:start w:val="1"/>
    </w:lvl>
  </w:abstractNum>
  <w:abstractNum w:abstractNumId="71">
    <w:nsid w:val="718FABF9"/>
    <w:multiLevelType w:val="hybridMultilevel"/>
    <w:lvl w:ilvl="0">
      <w:lvlJc w:val="left"/>
      <w:lvlText w:val="(%1)"/>
      <w:numFmt w:val="decimal"/>
      <w:start w:val="7"/>
    </w:lvl>
  </w:abstractNum>
  <w:abstractNum w:abstractNumId="72">
    <w:nsid w:val="7775797C"/>
    <w:multiLevelType w:val="hybridMultilevel"/>
    <w:lvl w:ilvl="0">
      <w:lvlJc w:val="left"/>
      <w:lvlText w:val="(%1)"/>
      <w:numFmt w:val="decimal"/>
      <w:start w:val="12"/>
    </w:lvl>
  </w:abstractNum>
  <w:abstractNum w:abstractNumId="73">
    <w:nsid w:val="1626FB8C"/>
    <w:multiLevelType w:val="hybridMultilevel"/>
    <w:lvl w:ilvl="0">
      <w:lvlJc w:val="left"/>
      <w:lvlText w:val="(%1)"/>
      <w:numFmt w:val="decimal"/>
      <w:start w:val="20"/>
    </w:lvl>
  </w:abstractNum>
  <w:abstractNum w:abstractNumId="74">
    <w:nsid w:val="3957756A"/>
    <w:multiLevelType w:val="hybridMultilevel"/>
    <w:lvl w:ilvl="0">
      <w:lvlJc w:val="left"/>
      <w:lvlText w:val="(%1)"/>
      <w:numFmt w:val="decimal"/>
      <w:start w:val="25"/>
    </w:lvl>
  </w:abstractNum>
  <w:abstractNum w:abstractNumId="75">
    <w:nsid w:val="3E6DA1C7"/>
    <w:multiLevelType w:val="hybridMultilevel"/>
    <w:lvl w:ilvl="0">
      <w:lvlJc w:val="left"/>
      <w:lvlText w:val="(%1)"/>
      <w:numFmt w:val="decimal"/>
      <w:start w:val="30"/>
    </w:lvl>
  </w:abstractNum>
  <w:abstractNum w:abstractNumId="76">
    <w:nsid w:val="65CA235B"/>
    <w:multiLevelType w:val="hybridMultilevel"/>
    <w:lvl w:ilvl="0">
      <w:lvlJc w:val="left"/>
      <w:lvlText w:val="(%1)"/>
      <w:numFmt w:val="decimal"/>
      <w:start w:val="4"/>
    </w:lvl>
  </w:abstractNum>
  <w:abstractNum w:abstractNumId="77">
    <w:nsid w:val="51CB0DA4"/>
    <w:multiLevelType w:val="hybridMultilevel"/>
    <w:lvl w:ilvl="0">
      <w:lvlJc w:val="left"/>
      <w:lvlText w:val="(%1)"/>
      <w:numFmt w:val="decimal"/>
      <w:start w:val="2"/>
    </w:lvl>
  </w:abstractNum>
  <w:abstractNum w:abstractNumId="78">
    <w:nsid w:val="7B9B743C"/>
    <w:multiLevelType w:val="hybridMultilevel"/>
    <w:lvl w:ilvl="0">
      <w:lvlJc w:val="left"/>
      <w:lvlText w:val="(%1)"/>
      <w:numFmt w:val="decimal"/>
      <w:start w:val="1"/>
    </w:lvl>
  </w:abstractNum>
  <w:abstractNum w:abstractNumId="79">
    <w:nsid w:val="13E21002"/>
    <w:multiLevelType w:val="hybridMultilevel"/>
    <w:lvl w:ilvl="0">
      <w:lvlJc w:val="left"/>
      <w:lvlText w:val="(%1)"/>
      <w:numFmt w:val="decimal"/>
      <w:start w:val="2"/>
    </w:lvl>
  </w:abstractNum>
  <w:abstractNum w:abstractNumId="80">
    <w:nsid w:val="257D63F4"/>
    <w:multiLevelType w:val="hybridMultilevel"/>
    <w:lvl w:ilvl="0">
      <w:lvlJc w:val="left"/>
      <w:lvlText w:val="•"/>
      <w:numFmt w:val="bullet"/>
      <w:start w:val="1"/>
    </w:lvl>
  </w:abstractNum>
  <w:abstractNum w:abstractNumId="81">
    <w:nsid w:val="70EC11B2"/>
    <w:multiLevelType w:val="hybridMultilevel"/>
    <w:lvl w:ilvl="0">
      <w:lvlJc w:val="left"/>
      <w:lvlText w:val="(%1)"/>
      <w:numFmt w:val="decimal"/>
      <w:start w:val="1"/>
    </w:lvl>
  </w:abstractNum>
  <w:abstractNum w:abstractNumId="82">
    <w:nsid w:val="2EDA00ED"/>
    <w:multiLevelType w:val="hybridMultilevel"/>
    <w:lvl w:ilvl="0">
      <w:lvlJc w:val="left"/>
      <w:lvlText w:val="(%1)"/>
      <w:numFmt w:val="decimal"/>
      <w:start w:val="1"/>
    </w:lvl>
  </w:abstractNum>
  <w:abstractNum w:abstractNumId="83">
    <w:nsid w:val="73209072"/>
    <w:multiLevelType w:val="hybridMultilevel"/>
    <w:lvl w:ilvl="0">
      <w:lvlJc w:val="left"/>
      <w:lvlText w:val="•"/>
      <w:numFmt w:val="bullet"/>
      <w:start w:val="1"/>
    </w:lvl>
  </w:abstractNum>
  <w:abstractNum w:abstractNumId="84">
    <w:nsid w:val="5FB29816"/>
    <w:multiLevelType w:val="hybridMultilevel"/>
    <w:lvl w:ilvl="0">
      <w:lvlJc w:val="left"/>
      <w:lvlText w:val="*"/>
      <w:numFmt w:val="bullet"/>
      <w:start w:val="1"/>
    </w:lvl>
  </w:abstractNum>
  <w:abstractNum w:abstractNumId="85">
    <w:nsid w:val="3CE732EC"/>
    <w:multiLevelType w:val="hybridMultilevel"/>
    <w:lvl w:ilvl="0">
      <w:lvlJc w:val="left"/>
      <w:lvlText w:val="(%1)"/>
      <w:numFmt w:val="decimal"/>
      <w:start w:val="1"/>
    </w:lvl>
  </w:abstractNum>
  <w:abstractNum w:abstractNumId="86">
    <w:nsid w:val="22F13DF3"/>
    <w:multiLevelType w:val="hybridMultilevel"/>
    <w:lvl w:ilvl="0">
      <w:lvlJc w:val="left"/>
      <w:lvlText w:val="(%1)"/>
      <w:numFmt w:val="decimal"/>
      <w:start w:val="4"/>
    </w:lvl>
  </w:abstractNum>
  <w:abstractNum w:abstractNumId="87">
    <w:nsid w:val="792B8401"/>
    <w:multiLevelType w:val="hybridMultilevel"/>
    <w:lvl w:ilvl="0">
      <w:lvlJc w:val="left"/>
      <w:lvlText w:val="(%1)"/>
      <w:numFmt w:val="decimal"/>
      <w:start w:val="15"/>
    </w:lvl>
  </w:abstractNum>
  <w:abstractNum w:abstractNumId="88">
    <w:nsid w:val="FA85F4D"/>
    <w:multiLevelType w:val="hybridMultilevel"/>
    <w:lvl w:ilvl="0">
      <w:lvlJc w:val="left"/>
      <w:lvlText w:val="•"/>
      <w:numFmt w:val="bullet"/>
      <w:start w:val="1"/>
    </w:lvl>
  </w:abstractNum>
  <w:abstractNum w:abstractNumId="89">
    <w:nsid w:val="6ECE91F0"/>
    <w:multiLevelType w:val="hybridMultilevel"/>
    <w:lvl w:ilvl="0">
      <w:lvlJc w:val="left"/>
      <w:lvlText w:val="•"/>
      <w:numFmt w:val="bullet"/>
      <w:start w:val="1"/>
    </w:lvl>
  </w:abstractNum>
  <w:abstractNum w:abstractNumId="90">
    <w:nsid w:val="4FC4D600"/>
    <w:multiLevelType w:val="hybridMultilevel"/>
    <w:lvl w:ilvl="0">
      <w:lvlJc w:val="left"/>
      <w:lvlText w:val="•"/>
      <w:numFmt w:val="bullet"/>
      <w:start w:val="1"/>
    </w:lvl>
  </w:abstractNum>
  <w:abstractNum w:abstractNumId="91">
    <w:nsid w:val="5BFD4210"/>
    <w:multiLevelType w:val="hybridMultilevel"/>
    <w:lvl w:ilvl="0">
      <w:lvlJc w:val="left"/>
      <w:lvlText w:val="•"/>
      <w:numFmt w:val="bullet"/>
      <w:start w:val="1"/>
    </w:lvl>
  </w:abstractNum>
  <w:abstractNum w:abstractNumId="92">
    <w:nsid w:val="76574F8B"/>
    <w:multiLevelType w:val="hybridMultilevel"/>
    <w:lvl w:ilvl="0">
      <w:lvlJc w:val="left"/>
      <w:lvlText w:val="•"/>
      <w:numFmt w:val="bullet"/>
      <w:start w:val="1"/>
    </w:lvl>
  </w:abstractNum>
  <w:abstractNum w:abstractNumId="93">
    <w:nsid w:val="178F7B67"/>
    <w:multiLevelType w:val="hybridMultilevel"/>
    <w:lvl w:ilvl="0">
      <w:lvlJc w:val="left"/>
      <w:lvlText w:val="(%1)"/>
      <w:numFmt w:val="lowerRoman"/>
      <w:start w:val="2"/>
    </w:lvl>
    <w:lvl w:ilvl="1">
      <w:lvlJc w:val="left"/>
      <w:lvlText w:val="•"/>
      <w:numFmt w:val="bullet"/>
      <w:start w:val="1"/>
    </w:lvl>
  </w:abstractNum>
  <w:abstractNum w:abstractNumId="94">
    <w:nsid w:val="2421DFCF"/>
    <w:multiLevelType w:val="hybridMultilevel"/>
    <w:lvl w:ilvl="0">
      <w:lvlJc w:val="left"/>
      <w:lvlText w:val="•"/>
      <w:numFmt w:val="bullet"/>
      <w:start w:val="1"/>
    </w:lvl>
  </w:abstractNum>
  <w:abstractNum w:abstractNumId="95">
    <w:nsid w:val="1565AC99"/>
    <w:multiLevelType w:val="hybridMultilevel"/>
    <w:lvl w:ilvl="0">
      <w:lvlJc w:val="left"/>
      <w:lvlText w:val="•"/>
      <w:numFmt w:val="bullet"/>
      <w:start w:val="1"/>
    </w:lvl>
  </w:abstractNum>
  <w:abstractNum w:abstractNumId="96">
    <w:nsid w:val="19FB2650"/>
    <w:multiLevelType w:val="hybridMultilevel"/>
    <w:lvl w:ilvl="0">
      <w:lvlJc w:val="left"/>
      <w:lvlText w:val="•"/>
      <w:numFmt w:val="bullet"/>
      <w:start w:val="1"/>
    </w:lvl>
  </w:abstractNum>
  <w:abstractNum w:abstractNumId="97">
    <w:nsid w:val="5024DE5B"/>
    <w:multiLevelType w:val="hybridMultilevel"/>
    <w:lvl w:ilvl="0">
      <w:lvlJc w:val="left"/>
      <w:lvlText w:val="•"/>
      <w:numFmt w:val="bullet"/>
      <w:start w:val="1"/>
    </w:lvl>
  </w:abstractNum>
  <w:abstractNum w:abstractNumId="98">
    <w:nsid w:val="168EFE17"/>
    <w:multiLevelType w:val="hybridMultilevel"/>
    <w:lvl w:ilvl="0">
      <w:lvlJc w:val="left"/>
      <w:lvlText w:val="•"/>
      <w:numFmt w:val="bullet"/>
      <w:start w:val="1"/>
    </w:lvl>
  </w:abstractNum>
  <w:abstractNum w:abstractNumId="99">
    <w:nsid w:val="1036B29F"/>
    <w:multiLevelType w:val="hybridMultilevel"/>
    <w:lvl w:ilvl="0">
      <w:lvlJc w:val="left"/>
      <w:lvlText w:val="•"/>
      <w:numFmt w:val="bullet"/>
      <w:start w:val="1"/>
    </w:lvl>
  </w:abstractNum>
  <w:abstractNum w:abstractNumId="100">
    <w:nsid w:val="1D206B8E"/>
    <w:multiLevelType w:val="hybridMultilevel"/>
    <w:lvl w:ilvl="0">
      <w:lvlJc w:val="left"/>
      <w:lvlText w:val="•"/>
      <w:numFmt w:val="bullet"/>
      <w:start w:val="1"/>
    </w:lvl>
  </w:abstractNum>
  <w:abstractNum w:abstractNumId="101">
    <w:nsid w:val="7934D3D4"/>
    <w:multiLevelType w:val="hybridMultilevel"/>
    <w:lvl w:ilvl="0">
      <w:lvlJc w:val="left"/>
      <w:lvlText w:val="(%1)"/>
      <w:numFmt w:val="lowerLetter"/>
      <w:start w:val="1"/>
    </w:lvl>
  </w:abstractNum>
  <w:abstractNum w:abstractNumId="102">
    <w:nsid w:val="1C65E98"/>
    <w:multiLevelType w:val="hybridMultilevel"/>
    <w:lvl w:ilvl="0">
      <w:lvlJc w:val="left"/>
      <w:lvlText w:val="(%1)"/>
      <w:numFmt w:val="lowerLetter"/>
      <w:start w:val="1"/>
    </w:lvl>
  </w:abstractNum>
  <w:abstractNum w:abstractNumId="103">
    <w:nsid w:val="1495E50A"/>
    <w:multiLevelType w:val="hybridMultilevel"/>
    <w:lvl w:ilvl="0">
      <w:lvlJc w:val="left"/>
      <w:lvlText w:val="(%1)"/>
      <w:numFmt w:val="lowerLetter"/>
      <w:start w:val="1"/>
    </w:lvl>
  </w:abstractNum>
  <w:abstractNum w:abstractNumId="104">
    <w:nsid w:val="F5BCF61"/>
    <w:multiLevelType w:val="hybridMultilevel"/>
    <w:lvl w:ilvl="0">
      <w:lvlJc w:val="left"/>
      <w:lvlText w:val="(%1)"/>
      <w:numFmt w:val="decimal"/>
      <w:start w:val="1"/>
    </w:lvl>
  </w:abstractNum>
  <w:abstractNum w:abstractNumId="105">
    <w:nsid w:val="3B1DD403"/>
    <w:multiLevelType w:val="hybridMultilevel"/>
    <w:lvl w:ilvl="0">
      <w:lvlJc w:val="left"/>
      <w:lvlText w:val="(%1)"/>
      <w:numFmt w:val="decimal"/>
      <w:start w:val="5"/>
    </w:lvl>
  </w:abstractNum>
  <w:abstractNum w:abstractNumId="106">
    <w:nsid w:val="530386D1"/>
    <w:multiLevelType w:val="hybridMultilevel"/>
    <w:lvl w:ilvl="0">
      <w:lvlJc w:val="left"/>
      <w:lvlText w:val="(%1)"/>
      <w:numFmt w:val="decimal"/>
      <w:start w:val="6"/>
    </w:lvl>
  </w:abstractNum>
  <w:abstractNum w:abstractNumId="107">
    <w:nsid w:val="7525F2BC"/>
    <w:multiLevelType w:val="hybridMultilevel"/>
    <w:lvl w:ilvl="0">
      <w:lvlJc w:val="left"/>
      <w:lvlText w:val="**"/>
      <w:numFmt w:val="bullet"/>
      <w:start w:val="1"/>
    </w:lvl>
  </w:abstractNum>
  <w:abstractNum w:abstractNumId="108">
    <w:nsid w:val="CE8E1A7"/>
    <w:multiLevelType w:val="hybridMultilevel"/>
    <w:lvl w:ilvl="0">
      <w:lvlJc w:val="left"/>
      <w:lvlText w:val="+"/>
      <w:numFmt w:val="bullet"/>
      <w:start w:val="1"/>
    </w:lvl>
  </w:abstractNum>
  <w:abstractNum w:abstractNumId="109">
    <w:nsid w:val="4E9EFB0D"/>
    <w:multiLevelType w:val="hybridMultilevel"/>
    <w:lvl w:ilvl="0">
      <w:lvlJc w:val="left"/>
      <w:lvlText w:val="(%1)"/>
      <w:numFmt w:val="decimal"/>
      <w:start w:val="1"/>
    </w:lvl>
  </w:abstractNum>
  <w:abstractNum w:abstractNumId="110">
    <w:nsid w:val="90802BE"/>
    <w:multiLevelType w:val="hybridMultilevel"/>
    <w:lvl w:ilvl="0">
      <w:lvlJc w:val="left"/>
      <w:lvlText w:val="(%1)"/>
      <w:numFmt w:val="decimal"/>
      <w:start w:val="2"/>
    </w:lvl>
    <w:lvl w:ilvl="1">
      <w:lvlJc w:val="left"/>
      <w:lvlText w:val="(%2)"/>
      <w:numFmt w:val="lowerRoman"/>
      <w:start w:val="1"/>
    </w:lvl>
  </w:abstractNum>
  <w:abstractNum w:abstractNumId="111">
    <w:nsid w:val="3266459B"/>
    <w:multiLevelType w:val="hybridMultilevel"/>
    <w:lvl w:ilvl="0">
      <w:lvlJc w:val="left"/>
      <w:lvlText w:val="[•]"/>
      <w:numFmt w:val="bullet"/>
      <w:start w:val="1"/>
    </w:lvl>
  </w:abstractNum>
  <w:abstractNum w:abstractNumId="112">
    <w:nsid w:val="3F8B0CBF"/>
    <w:multiLevelType w:val="hybridMultilevel"/>
    <w:lvl w:ilvl="0">
      <w:lvlJc w:val="left"/>
      <w:lvlText w:val="%1."/>
      <w:numFmt w:val="decimal"/>
      <w:start w:val="1"/>
    </w:lvl>
    <w:lvl w:ilvl="1">
      <w:lvlJc w:val="left"/>
      <w:lvlText w:val="(%2)"/>
      <w:numFmt w:val="lowerLetter"/>
      <w:start w:val="1"/>
    </w:lvl>
  </w:abstractNum>
  <w:abstractNum w:abstractNumId="113">
    <w:nsid w:val="37E203AB"/>
    <w:multiLevelType w:val="hybridMultilevel"/>
    <w:lvl w:ilvl="0">
      <w:lvlJc w:val="left"/>
      <w:lvlText w:val="(%1)"/>
      <w:numFmt w:val="lowerLetter"/>
      <w:start w:val="4"/>
    </w:lvl>
  </w:abstractNum>
  <w:abstractNum w:abstractNumId="114">
    <w:nsid w:val="2586D60E"/>
    <w:multiLevelType w:val="hybridMultilevel"/>
    <w:lvl w:ilvl="0">
      <w:lvlJc w:val="left"/>
      <w:lvlText w:val="%1"/>
      <w:numFmt w:val="lowerLetter"/>
      <w:start w:val="1"/>
    </w:lvl>
    <w:lvl w:ilvl="1">
      <w:lvlJc w:val="left"/>
      <w:lvlText w:val="(%2)"/>
      <w:numFmt w:val="lowerLetter"/>
      <w:start w:val="11"/>
    </w:lvl>
  </w:abstractNum>
  <w:abstractNum w:abstractNumId="115">
    <w:nsid w:val="1F3DA4D5"/>
    <w:multiLevelType w:val="hybridMultilevel"/>
    <w:lvl w:ilvl="0">
      <w:lvlJc w:val="left"/>
      <w:lvlText w:val="(%1)"/>
      <w:numFmt w:val="lowerLetter"/>
      <w:start w:val="61"/>
    </w:lvl>
    <w:lvl w:ilvl="1">
      <w:lvlJc w:val="left"/>
      <w:lvlText w:val="(%2)"/>
      <w:numFmt w:val="lowerLetter"/>
      <w:start w:val="16"/>
    </w:lvl>
  </w:abstractNum>
  <w:abstractNum w:abstractNumId="116">
    <w:nsid w:val="74C93698"/>
    <w:multiLevelType w:val="hybridMultilevel"/>
    <w:lvl w:ilvl="0">
      <w:lvlJc w:val="left"/>
      <w:lvlText w:val="(%1)"/>
      <w:numFmt w:val="lowerLetter"/>
      <w:start w:val="17"/>
    </w:lvl>
  </w:abstractNum>
  <w:abstractNum w:abstractNumId="117">
    <w:nsid w:val="487814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8">
    <w:nsid w:val="186928D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19">
    <w:nsid w:val="47195E5"/>
    <w:multiLevelType w:val="hybridMultilevel"/>
    <w:lvl w:ilvl="0">
      <w:lvlJc w:val="left"/>
      <w:lvlText w:val="(%1)"/>
      <w:numFmt w:val="lowerLetter"/>
      <w:start w:val="21"/>
    </w:lvl>
    <w:lvl w:ilvl="1">
      <w:lvlJc w:val="left"/>
      <w:lvlText w:val="%2"/>
      <w:numFmt w:val="lowerRoman"/>
      <w:start w:val="1"/>
    </w:lvl>
    <w:lvl w:ilvl="2">
      <w:lvlJc w:val="left"/>
      <w:lvlText w:val="%3"/>
      <w:numFmt w:val="upperLetter"/>
      <w:start w:val="1"/>
    </w:lvl>
  </w:abstractNum>
  <w:abstractNum w:abstractNumId="120">
    <w:nsid w:val="3746A5F2"/>
    <w:multiLevelType w:val="hybridMultilevel"/>
    <w:lvl w:ilvl="0">
      <w:lvlJc w:val="left"/>
      <w:lvlText w:val="(%1)"/>
      <w:numFmt w:val="lowerLetter"/>
      <w:start w:val="22"/>
    </w:lvl>
  </w:abstractNum>
  <w:abstractNum w:abstractNumId="121">
    <w:nsid w:val="682DFED6"/>
    <w:multiLevelType w:val="hybridMultilevel"/>
    <w:lvl w:ilvl="0">
      <w:lvlJc w:val="left"/>
      <w:lvlText w:val="(%1)"/>
      <w:numFmt w:val="lowerLetter"/>
      <w:start w:val="24"/>
    </w:lvl>
  </w:abstractNum>
  <w:abstractNum w:abstractNumId="122">
    <w:nsid w:val="606ED7F6"/>
    <w:multiLevelType w:val="hybridMultilevel"/>
    <w:lvl w:ilvl="0">
      <w:lvlJc w:val="left"/>
      <w:lvlText w:val="(%1)"/>
      <w:numFmt w:val="lowerLetter"/>
      <w:start w:val="27"/>
    </w:lvl>
  </w:abstractNum>
  <w:abstractNum w:abstractNumId="123">
    <w:nsid w:val="2D9DF57D"/>
    <w:multiLevelType w:val="hybridMultilevel"/>
    <w:lvl w:ilvl="0">
      <w:lvlJc w:val="left"/>
      <w:lvlText w:val="(%1)"/>
      <w:numFmt w:val="lowerLetter"/>
      <w:start w:val="29"/>
    </w:lvl>
  </w:abstractNum>
  <w:abstractNum w:abstractNumId="124">
    <w:nsid w:val="7FBD7A3E"/>
    <w:multiLevelType w:val="hybridMultilevel"/>
    <w:lvl w:ilvl="0">
      <w:lvlJc w:val="left"/>
      <w:lvlText w:val="(%1)"/>
      <w:numFmt w:val="lowerLetter"/>
      <w:start w:val="33"/>
    </w:lvl>
    <w:lvl w:ilvl="1">
      <w:lvlJc w:val="left"/>
      <w:lvlText w:val="(%2)"/>
      <w:numFmt w:val="lowerRoman"/>
      <w:start w:val="1"/>
    </w:lvl>
  </w:abstractNum>
  <w:abstractNum w:abstractNumId="125">
    <w:nsid w:val="490B7C5"/>
    <w:multiLevelType w:val="hybridMultilevel"/>
    <w:lvl w:ilvl="0">
      <w:lvlJc w:val="left"/>
      <w:lvlText w:val="(%1)"/>
      <w:numFmt w:val="lowerLetter"/>
      <w:start w:val="34"/>
    </w:lvl>
  </w:abstractNum>
  <w:abstractNum w:abstractNumId="126">
    <w:nsid w:val="4303A216"/>
    <w:multiLevelType w:val="hybridMultilevel"/>
    <w:lvl w:ilvl="0">
      <w:lvlJc w:val="left"/>
      <w:lvlText w:val="%1"/>
      <w:numFmt w:val="lowerLetter"/>
      <w:start w:val="1"/>
    </w:lvl>
    <w:lvl w:ilvl="1">
      <w:lvlJc w:val="left"/>
      <w:lvlText w:val="(%2)"/>
      <w:numFmt w:val="lowerLetter"/>
      <w:start w:val="36"/>
    </w:lvl>
  </w:abstractNum>
  <w:abstractNum w:abstractNumId="127">
    <w:nsid w:val="19B8A08E"/>
    <w:multiLevelType w:val="hybridMultilevel"/>
    <w:lvl w:ilvl="0">
      <w:lvlJc w:val="left"/>
      <w:lvlText w:val="(%1)"/>
      <w:numFmt w:val="lowerLetter"/>
      <w:start w:val="35"/>
    </w:lvl>
    <w:lvl w:ilvl="1">
      <w:lvlJc w:val="left"/>
      <w:lvlText w:val="(%2)"/>
      <w:numFmt w:val="lowerLetter"/>
      <w:start w:val="37"/>
    </w:lvl>
  </w:abstractNum>
  <w:abstractNum w:abstractNumId="128">
    <w:nsid w:val="54B59621"/>
    <w:multiLevelType w:val="hybridMultilevel"/>
    <w:lvl w:ilvl="0">
      <w:lvlJc w:val="left"/>
      <w:lvlText w:val="%1."/>
      <w:numFmt w:val="decimal"/>
      <w:start w:val="2"/>
    </w:lvl>
  </w:abstractNum>
  <w:abstractNum w:abstractNumId="129">
    <w:nsid w:val="5992A02E"/>
    <w:multiLevelType w:val="hybridMultilevel"/>
    <w:lvl w:ilvl="0">
      <w:lvlJc w:val="left"/>
      <w:lvlText w:val="%1."/>
      <w:numFmt w:val="decimal"/>
      <w:start w:val="3"/>
    </w:lvl>
  </w:abstractNum>
  <w:abstractNum w:abstractNumId="130">
    <w:nsid w:val="29EF532D"/>
    <w:multiLevelType w:val="hybridMultilevel"/>
    <w:lvl w:ilvl="0">
      <w:lvlJc w:val="left"/>
      <w:lvlText w:val="%1."/>
      <w:numFmt w:val="decimal"/>
      <w:start w:val="5"/>
    </w:lvl>
  </w:abstractNum>
  <w:abstractNum w:abstractNumId="131">
    <w:nsid w:val="71D601AF"/>
    <w:multiLevelType w:val="hybridMultilevel"/>
    <w:lvl w:ilvl="0">
      <w:lvlJc w:val="left"/>
      <w:lvlText w:val="(%1)"/>
      <w:numFmt w:val="lowerLetter"/>
      <w:start w:val="1"/>
    </w:lvl>
  </w:abstractNum>
  <w:abstractNum w:abstractNumId="132">
    <w:nsid w:val="52C77402"/>
    <w:multiLevelType w:val="hybridMultilevel"/>
    <w:lvl w:ilvl="0">
      <w:lvlJc w:val="left"/>
      <w:lvlText w:val="(%1)"/>
      <w:numFmt w:val="lowerLetter"/>
      <w:start w:val="3"/>
    </w:lvl>
  </w:abstractNum>
  <w:abstractNum w:abstractNumId="133">
    <w:nsid w:val="2BB5B1C6"/>
    <w:multiLevelType w:val="hybridMultilevel"/>
    <w:lvl w:ilvl="0">
      <w:lvlJc w:val="left"/>
      <w:lvlText w:val="(%1)"/>
      <w:numFmt w:val="lowerLetter"/>
      <w:start w:val="4"/>
    </w:lvl>
  </w:abstractNum>
  <w:abstractNum w:abstractNumId="134">
    <w:nsid w:val="66BE6B9"/>
    <w:multiLevelType w:val="hybridMultilevel"/>
    <w:lvl w:ilvl="0">
      <w:lvlJc w:val="left"/>
      <w:lvlText w:val="(%1)"/>
      <w:numFmt w:val="lowerLetter"/>
      <w:start w:val="6"/>
    </w:lvl>
    <w:lvl w:ilvl="1">
      <w:lvlJc w:val="left"/>
      <w:lvlText w:val="(%2)"/>
      <w:numFmt w:val="lowerLetter"/>
      <w:start w:val="9"/>
    </w:lvl>
  </w:abstractNum>
  <w:abstractNum w:abstractNumId="135">
    <w:nsid w:val="622343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6">
    <w:nsid w:val="66D385C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7">
    <w:nsid w:val="596F6D8A"/>
    <w:multiLevelType w:val="hybridMultilevel"/>
    <w:lvl w:ilvl="0">
      <w:lvlJc w:val="left"/>
      <w:lvlText w:val="(%1)"/>
      <w:numFmt w:val="lowerLetter"/>
      <w:start w:val="3"/>
    </w:lvl>
  </w:abstractNum>
  <w:abstractNum w:abstractNumId="138">
    <w:nsid w:val="5749361F"/>
    <w:multiLevelType w:val="hybridMultilevel"/>
    <w:lvl w:ilvl="0">
      <w:lvlJc w:val="left"/>
      <w:lvlText w:val="(%1)"/>
      <w:numFmt w:val="lowerLetter"/>
      <w:start w:val="7"/>
    </w:lvl>
  </w:abstractNum>
  <w:abstractNum w:abstractNumId="139">
    <w:nsid w:val="73BC6770"/>
    <w:multiLevelType w:val="hybridMultilevel"/>
    <w:lvl w:ilvl="0">
      <w:lvlJc w:val="left"/>
      <w:lvlText w:val="%1"/>
      <w:numFmt w:val="lowerLetter"/>
      <w:start w:val="1"/>
    </w:lvl>
    <w:lvl w:ilvl="1">
      <w:lvlJc w:val="left"/>
      <w:lvlText w:val="(%2)"/>
      <w:numFmt w:val="lowerLetter"/>
      <w:start w:val="10"/>
    </w:lvl>
  </w:abstractNum>
  <w:abstractNum w:abstractNumId="140">
    <w:nsid w:val="280E6897"/>
    <w:multiLevelType w:val="hybridMultilevel"/>
    <w:lvl w:ilvl="0">
      <w:lvlJc w:val="left"/>
      <w:lvlText w:val="(%1)"/>
      <w:numFmt w:val="lowerLetter"/>
      <w:start w:val="1"/>
    </w:lvl>
    <w:lvl w:ilvl="1">
      <w:lvlJc w:val="left"/>
      <w:lvlText w:val="(%2)"/>
      <w:numFmt w:val="lowerLetter"/>
      <w:start w:val="11"/>
    </w:lvl>
  </w:abstractNum>
  <w:abstractNum w:abstractNumId="141">
    <w:nsid w:val="605138DE"/>
    <w:multiLevelType w:val="hybridMultilevel"/>
    <w:lvl w:ilvl="0">
      <w:lvlJc w:val="left"/>
      <w:lvlText w:val="(%1)"/>
      <w:numFmt w:val="lowerRoman"/>
      <w:start w:val="1"/>
    </w:lvl>
  </w:abstractNum>
  <w:abstractNum w:abstractNumId="142">
    <w:nsid w:val="2622AD0C"/>
    <w:multiLevelType w:val="hybridMultilevel"/>
    <w:lvl w:ilvl="0">
      <w:lvlJc w:val="left"/>
      <w:lvlText w:val="A"/>
      <w:numFmt w:val="bullet"/>
      <w:start w:val="1"/>
    </w:lvl>
    <w:lvl w:ilvl="1">
      <w:lvlJc w:val="left"/>
      <w:lvlText w:val="(%2)"/>
      <w:numFmt w:val="lowerRoman"/>
      <w:start w:val="3"/>
    </w:lvl>
  </w:abstractNum>
  <w:abstractNum w:abstractNumId="143">
    <w:nsid w:val="67997556"/>
    <w:multiLevelType w:val="hybridMultilevel"/>
    <w:lvl w:ilvl="0">
      <w:lvlJc w:val="left"/>
      <w:lvlText w:val="(%1)"/>
      <w:numFmt w:val="lowerLetter"/>
      <w:start w:val="13"/>
    </w:lvl>
  </w:abstractNum>
  <w:abstractNum w:abstractNumId="144">
    <w:nsid w:val="18333C89"/>
    <w:multiLevelType w:val="hybridMultilevel"/>
    <w:lvl w:ilvl="0">
      <w:lvlJc w:val="left"/>
      <w:lvlText w:val="%1"/>
      <w:numFmt w:val="decimal"/>
      <w:start w:val="1"/>
    </w:lvl>
    <w:lvl w:ilvl="1">
      <w:lvlJc w:val="left"/>
      <w:lvlText w:val="(%2)"/>
      <w:numFmt w:val="lowerLetter"/>
      <w:start w:val="14"/>
    </w:lvl>
  </w:abstractNum>
  <w:abstractNum w:abstractNumId="145">
    <w:nsid w:val="4BA9831A"/>
    <w:multiLevelType w:val="hybridMultilevel"/>
    <w:lvl w:ilvl="0">
      <w:lvlJc w:val="left"/>
      <w:lvlText w:val="%1."/>
      <w:numFmt w:val="decimal"/>
      <w:start w:val="7"/>
    </w:lvl>
    <w:lvl w:ilvl="1">
      <w:lvlJc w:val="left"/>
      <w:lvlText w:val="%2"/>
      <w:numFmt w:val="lowerLetter"/>
      <w:start w:val="1"/>
    </w:lvl>
  </w:abstractNum>
  <w:abstractNum w:abstractNumId="146">
    <w:nsid w:val="6D71A2B"/>
    <w:multiLevelType w:val="hybridMultilevel"/>
    <w:lvl w:ilvl="0">
      <w:lvlJc w:val="left"/>
      <w:lvlText w:val="(%1)"/>
      <w:numFmt w:val="lowerLetter"/>
      <w:start w:val="2"/>
    </w:lvl>
  </w:abstractNum>
  <w:abstractNum w:abstractNumId="147">
    <w:nsid w:val="CFC7321"/>
    <w:multiLevelType w:val="hybridMultilevel"/>
    <w:lvl w:ilvl="0">
      <w:lvlJc w:val="left"/>
      <w:lvlText w:val="(%1)"/>
      <w:numFmt w:val="lowerLetter"/>
      <w:start w:val="24"/>
    </w:lvl>
    <w:lvl w:ilvl="1">
      <w:lvlJc w:val="left"/>
      <w:lvlText w:val="(%2)"/>
      <w:numFmt w:val="lowerLetter"/>
      <w:start w:val="4"/>
    </w:lvl>
  </w:abstractNum>
  <w:abstractNum w:abstractNumId="148">
    <w:nsid w:val="1421971B"/>
    <w:multiLevelType w:val="hybridMultilevel"/>
    <w:lvl w:ilvl="0">
      <w:lvlJc w:val="left"/>
      <w:lvlText w:val="%1"/>
      <w:numFmt w:val="lowerLetter"/>
      <w:start w:val="1"/>
    </w:lvl>
    <w:lvl w:ilvl="1">
      <w:lvlJc w:val="left"/>
      <w:lvlText w:val="(%2)"/>
      <w:numFmt w:val="lowerLetter"/>
      <w:start w:val="6"/>
    </w:lvl>
  </w:abstractNum>
  <w:abstractNum w:abstractNumId="149">
    <w:nsid w:val="1F404301"/>
    <w:multiLevelType w:val="hybridMultilevel"/>
    <w:lvl w:ilvl="0">
      <w:lvlJc w:val="left"/>
      <w:lvlText w:val="(%1)"/>
      <w:numFmt w:val="lowerLetter"/>
      <w:start w:val="61"/>
    </w:lvl>
    <w:lvl w:ilvl="1">
      <w:lvlJc w:val="left"/>
      <w:lvlText w:val="%2"/>
      <w:numFmt w:val="lowerLetter"/>
      <w:start w:val="1"/>
    </w:lvl>
  </w:abstractNum>
  <w:abstractNum w:abstractNumId="150">
    <w:nsid w:val="116E0907"/>
    <w:multiLevelType w:val="hybridMultilevel"/>
    <w:lvl w:ilvl="0">
      <w:lvlJc w:val="left"/>
      <w:lvlText w:val="%1."/>
      <w:numFmt w:val="decimal"/>
      <w:start w:val="9"/>
    </w:lvl>
  </w:abstractNum>
  <w:abstractNum w:abstractNumId="151">
    <w:nsid w:val="4B683D0D"/>
    <w:multiLevelType w:val="hybridMultilevel"/>
    <w:lvl w:ilvl="0">
      <w:lvlJc w:val="left"/>
      <w:lvlText w:val="%1."/>
      <w:numFmt w:val="decimal"/>
      <w:start w:val="11"/>
    </w:lvl>
    <w:lvl w:ilvl="1">
      <w:lvlJc w:val="left"/>
      <w:lvlText w:val="(%2)"/>
      <w:numFmt w:val="lowerLetter"/>
      <w:start w:val="2"/>
    </w:lvl>
  </w:abstractNum>
  <w:abstractNum w:abstractNumId="152">
    <w:nsid w:val="76E41D8"/>
    <w:multiLevelType w:val="hybridMultilevel"/>
    <w:lvl w:ilvl="0">
      <w:lvlJc w:val="left"/>
      <w:lvlText w:val="%1."/>
      <w:numFmt w:val="decimal"/>
      <w:start w:val="12"/>
    </w:lvl>
  </w:abstractNum>
  <w:abstractNum w:abstractNumId="153">
    <w:nsid w:val="71DCE0FD"/>
    <w:multiLevelType w:val="hybridMultilevel"/>
    <w:lvl w:ilvl="0">
      <w:lvlJc w:val="left"/>
      <w:lvlText w:val="%1."/>
      <w:numFmt w:val="decimal"/>
      <w:start w:val="1"/>
    </w:lvl>
  </w:abstractNum>
  <w:abstractNum w:abstractNumId="154">
    <w:nsid w:val="7906328B"/>
    <w:multiLevelType w:val="hybridMultilevel"/>
    <w:lvl w:ilvl="0">
      <w:lvlJc w:val="left"/>
      <w:lvlText w:val="(%1)"/>
      <w:numFmt w:val="lowerLetter"/>
      <w:start w:val="1"/>
    </w:lvl>
  </w:abstractNum>
  <w:abstractNum w:abstractNumId="155">
    <w:nsid w:val="72BBC16"/>
    <w:multiLevelType w:val="hybridMultilevel"/>
    <w:lvl w:ilvl="0">
      <w:lvlJc w:val="left"/>
      <w:lvlText w:val="(%1)"/>
      <w:numFmt w:val="lowerLetter"/>
      <w:start w:val="10"/>
    </w:lvl>
  </w:abstractNum>
  <w:abstractNum w:abstractNumId="156">
    <w:nsid w:val="766D98C2"/>
    <w:multiLevelType w:val="hybridMultilevel"/>
    <w:lvl w:ilvl="0">
      <w:lvlJc w:val="left"/>
      <w:lvlText w:val="(%1)"/>
      <w:numFmt w:val="lowerLetter"/>
      <w:start w:val="23"/>
    </w:lvl>
  </w:abstractNum>
  <w:abstractNum w:abstractNumId="157">
    <w:nsid w:val="3C09D4A1"/>
    <w:multiLevelType w:val="hybridMultilevel"/>
    <w:lvl w:ilvl="0">
      <w:lvlJc w:val="left"/>
      <w:lvlText w:val="(%1)"/>
      <w:numFmt w:val="lowerLetter"/>
      <w:start w:val="24"/>
    </w:lvl>
  </w:abstractNum>
  <w:abstractNum w:abstractNumId="158">
    <w:nsid w:val="20E45CA4"/>
    <w:multiLevelType w:val="hybridMultilevel"/>
    <w:lvl w:ilvl="0">
      <w:lvlJc w:val="left"/>
      <w:lvlText w:val="%1."/>
      <w:numFmt w:val="upperLetter"/>
      <w:start w:val="1"/>
    </w:lvl>
  </w:abstractNum>
  <w:abstractNum w:abstractNumId="159">
    <w:nsid w:val="4B232EE3"/>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60">
    <w:nsid w:val="159C74CF"/>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161">
    <w:nsid w:val="4AD3AFD2"/>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162">
    <w:nsid w:val="3CF93092"/>
    <w:multiLevelType w:val="hybridMultilevel"/>
    <w:lvl w:ilvl="0">
      <w:lvlJc w:val="left"/>
      <w:lvlText w:val="%1"/>
      <w:numFmt w:val="lowerLetter"/>
      <w:start w:val="1"/>
    </w:lvl>
    <w:lvl w:ilvl="1">
      <w:lvlJc w:val="left"/>
      <w:lvlText w:val="(%2)"/>
      <w:numFmt w:val="lowerRoman"/>
      <w:start w:val="1"/>
    </w:lvl>
  </w:abstractNum>
  <w:abstractNum w:abstractNumId="163">
    <w:nsid w:val="6863E8D2"/>
    <w:multiLevelType w:val="hybridMultilevel"/>
    <w:lvl w:ilvl="0">
      <w:lvlJc w:val="left"/>
      <w:lvlText w:val="(%1)"/>
      <w:numFmt w:val="lowerLetter"/>
      <w:start w:val="3"/>
    </w:lvl>
    <w:lvl w:ilvl="1">
      <w:lvlJc w:val="left"/>
      <w:lvlText w:val="(%2)"/>
      <w:numFmt w:val="lowerRoman"/>
      <w:start w:val="1"/>
    </w:lvl>
  </w:abstractNum>
  <w:abstractNum w:abstractNumId="164">
    <w:nsid w:val="76896198"/>
    <w:multiLevelType w:val="hybridMultilevel"/>
    <w:lvl w:ilvl="0">
      <w:lvlJc w:val="left"/>
      <w:lvlText w:val="%1"/>
      <w:numFmt w:val="lowerLetter"/>
      <w:start w:val="1"/>
    </w:lvl>
    <w:lvl w:ilvl="1">
      <w:lvlJc w:val="left"/>
      <w:lvlText w:val="(%2)"/>
      <w:numFmt w:val="lowerRoman"/>
      <w:start w:val="2"/>
    </w:lvl>
  </w:abstractNum>
  <w:abstractNum w:abstractNumId="165">
    <w:nsid w:val="4365174B"/>
    <w:multiLevelType w:val="hybridMultilevel"/>
    <w:lvl w:ilvl="0">
      <w:lvlJc w:val="left"/>
      <w:lvlText w:val="(%1)"/>
      <w:numFmt w:val="lowerLetter"/>
      <w:start w:val="4"/>
    </w:lvl>
    <w:lvl w:ilvl="1">
      <w:lvlJc w:val="left"/>
      <w:lvlText w:val="(%2)"/>
      <w:numFmt w:val="lowerRoman"/>
      <w:start w:val="1"/>
    </w:lvl>
  </w:abstractNum>
  <w:abstractNum w:abstractNumId="166">
    <w:nsid w:val="4A872C35"/>
    <w:multiLevelType w:val="hybridMultilevel"/>
    <w:lvl w:ilvl="0">
      <w:lvlJc w:val="left"/>
      <w:lvlText w:val="%1"/>
      <w:numFmt w:val="lowerLetter"/>
      <w:start w:val="1"/>
    </w:lvl>
    <w:lvl w:ilvl="1">
      <w:lvlJc w:val="left"/>
      <w:lvlText w:val="(%2)"/>
      <w:numFmt w:val="lowerRoman"/>
      <w:start w:val="2"/>
    </w:lvl>
  </w:abstractNum>
  <w:abstractNum w:abstractNumId="167">
    <w:nsid w:val="5D5CE761"/>
    <w:multiLevelType w:val="hybridMultilevel"/>
    <w:lvl w:ilvl="0">
      <w:lvlJc w:val="left"/>
      <w:lvlText w:val="(%1)"/>
      <w:numFmt w:val="lowerLetter"/>
      <w:start w:val="6"/>
    </w:lvl>
    <w:lvl w:ilvl="1">
      <w:lvlJc w:val="left"/>
      <w:lvlText w:val="(%2)"/>
      <w:numFmt w:val="lowerRoman"/>
      <w:start w:val="1"/>
    </w:lvl>
  </w:abstractNum>
  <w:abstractNum w:abstractNumId="168">
    <w:nsid w:val="1CD484D5"/>
    <w:multiLevelType w:val="hybridMultilevel"/>
    <w:lvl w:ilvl="0">
      <w:lvlJc w:val="left"/>
      <w:lvlText w:val="(%1)"/>
      <w:numFmt w:val="lowerRoman"/>
      <w:start w:val="5"/>
    </w:lvl>
  </w:abstractNum>
  <w:abstractNum w:abstractNumId="169">
    <w:nsid w:val="21D06255"/>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70">
    <w:nsid w:val="51194ED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71">
    <w:nsid w:val="44E2ED6C"/>
    <w:multiLevelType w:val="hybridMultilevel"/>
    <w:lvl w:ilvl="0">
      <w:lvlJc w:val="left"/>
      <w:lvlText w:val="%1"/>
      <w:numFmt w:val="lowerLetter"/>
      <w:start w:val="1"/>
    </w:lvl>
    <w:lvl w:ilvl="1">
      <w:lvlJc w:val="left"/>
      <w:lvlText w:val="(%2)"/>
      <w:numFmt w:val="lowerRoman"/>
      <w:start w:val="2"/>
    </w:lvl>
  </w:abstractNum>
  <w:abstractNum w:abstractNumId="172">
    <w:nsid w:val="2219B33"/>
    <w:multiLevelType w:val="hybridMultilevel"/>
    <w:lvl w:ilvl="0">
      <w:lvlJc w:val="left"/>
      <w:lvlText w:val="(%1)"/>
      <w:numFmt w:val="lowerLetter"/>
      <w:start w:val="5"/>
    </w:lvl>
    <w:lvl w:ilvl="1">
      <w:lvlJc w:val="left"/>
      <w:lvlText w:val="%2"/>
      <w:numFmt w:val="lowerRoman"/>
      <w:start w:val="1"/>
    </w:lvl>
  </w:abstractNum>
  <w:abstractNum w:abstractNumId="173">
    <w:nsid w:val="773BFBDD"/>
    <w:multiLevelType w:val="hybridMultilevel"/>
    <w:lvl w:ilvl="0">
      <w:lvlJc w:val="left"/>
      <w:lvlText w:val="%1."/>
      <w:numFmt w:val="decimal"/>
      <w:start w:val="4"/>
    </w:lvl>
  </w:abstractNum>
  <w:abstractNum w:abstractNumId="174">
    <w:nsid w:val="2C7C62C2"/>
    <w:multiLevelType w:val="hybridMultilevel"/>
    <w:lvl w:ilvl="0">
      <w:lvlJc w:val="left"/>
      <w:lvlText w:val="(%1)"/>
      <w:numFmt w:val="lowerLetter"/>
      <w:start w:val="1"/>
    </w:lvl>
  </w:abstractNum>
  <w:abstractNum w:abstractNumId="175">
    <w:nsid w:val="1A54D7B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76">
    <w:nsid w:val="42E57EF7"/>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77">
    <w:nsid w:val="33537CED"/>
    <w:multiLevelType w:val="hybridMultilevel"/>
    <w:lvl w:ilvl="0">
      <w:lvlJc w:val="left"/>
      <w:lvlText w:val="(%1)"/>
      <w:numFmt w:val="upperLetter"/>
      <w:start w:val="1"/>
    </w:lvl>
    <w:lvl w:ilvl="1">
      <w:lvlJc w:val="left"/>
      <w:lvlText w:val="(%2)"/>
      <w:numFmt w:val="lowerRoman"/>
      <w:start w:val="2"/>
    </w:lvl>
  </w:abstractNum>
  <w:abstractNum w:abstractNumId="178">
    <w:nsid w:val="27514ADE"/>
    <w:multiLevelType w:val="hybridMultilevel"/>
    <w:lvl w:ilvl="0">
      <w:lvlJc w:val="left"/>
      <w:lvlText w:val="(%1)"/>
      <w:numFmt w:val="lowerRoman"/>
      <w:start w:val="3"/>
    </w:lvl>
    <w:lvl w:ilvl="1">
      <w:lvlJc w:val="left"/>
      <w:lvlText w:val="(%2)"/>
      <w:numFmt w:val="upperLetter"/>
      <w:start w:val="1"/>
    </w:lvl>
  </w:abstractNum>
  <w:abstractNum w:abstractNumId="179">
    <w:nsid w:val="57071613"/>
    <w:multiLevelType w:val="hybridMultilevel"/>
    <w:lvl w:ilvl="0">
      <w:lvlJc w:val="left"/>
      <w:lvlText w:val="%1"/>
      <w:numFmt w:val="lowerRoman"/>
      <w:start w:val="1"/>
    </w:lvl>
    <w:lvl w:ilvl="1">
      <w:lvlJc w:val="left"/>
      <w:lvlText w:val="(%2)"/>
      <w:numFmt w:val="upperLetter"/>
      <w:start w:val="3"/>
    </w:lvl>
  </w:abstractNum>
  <w:abstractNum w:abstractNumId="180">
    <w:nsid w:val="5293BFEF"/>
    <w:multiLevelType w:val="hybridMultilevel"/>
    <w:lvl w:ilvl="0">
      <w:lvlJc w:val="left"/>
      <w:lvlText w:val="(%1)"/>
      <w:numFmt w:val="lowerRoman"/>
      <w:start w:val="5"/>
    </w:lvl>
    <w:lvl w:ilvl="1">
      <w:lvlJc w:val="left"/>
      <w:lvlText w:val="%2"/>
      <w:numFmt w:val="upperLetter"/>
      <w:start w:val="1"/>
    </w:lvl>
  </w:abstractNum>
  <w:abstractNum w:abstractNumId="181">
    <w:nsid w:val="38BF53E5"/>
    <w:multiLevelType w:val="hybridMultilevel"/>
    <w:lvl w:ilvl="0">
      <w:lvlJc w:val="left"/>
      <w:lvlText w:val="(%1)"/>
      <w:numFmt w:val="upperLetter"/>
      <w:start w:val="1"/>
    </w:lvl>
  </w:abstractNum>
  <w:abstractNum w:abstractNumId="182">
    <w:nsid w:val="226F5320"/>
    <w:multiLevelType w:val="hybridMultilevel"/>
    <w:lvl w:ilvl="0">
      <w:lvlJc w:val="left"/>
      <w:lvlText w:val="(%1)"/>
      <w:numFmt w:val="upperLetter"/>
      <w:start w:val="3"/>
    </w:lvl>
  </w:abstractNum>
  <w:abstractNum w:abstractNumId="183">
    <w:nsid w:val="5A0201C7"/>
    <w:multiLevelType w:val="hybridMultilevel"/>
    <w:lvl w:ilvl="0">
      <w:lvlJc w:val="left"/>
      <w:lvlText w:val="(%1)"/>
      <w:numFmt w:val="upperLetter"/>
      <w:start w:val="4"/>
    </w:lvl>
  </w:abstractNum>
  <w:abstractNum w:abstractNumId="184">
    <w:nsid w:val="2A9C34E2"/>
    <w:multiLevelType w:val="hybridMultilevel"/>
    <w:lvl w:ilvl="0">
      <w:lvlJc w:val="left"/>
      <w:lvlText w:val="%1"/>
      <w:numFmt w:val="lowerLetter"/>
      <w:start w:val="1"/>
    </w:lvl>
    <w:lvl w:ilvl="1">
      <w:lvlJc w:val="left"/>
      <w:lvlText w:val="(%2)"/>
      <w:numFmt w:val="lowerRoman"/>
      <w:start w:val="6"/>
    </w:lvl>
  </w:abstractNum>
  <w:abstractNum w:abstractNumId="185">
    <w:nsid w:val="1B7585AB"/>
    <w:multiLevelType w:val="hybridMultilevel"/>
    <w:lvl w:ilvl="0">
      <w:lvlJc w:val="left"/>
      <w:lvlText w:val="(%1)"/>
      <w:numFmt w:val="lowerLetter"/>
      <w:start w:val="9"/>
    </w:lvl>
    <w:lvl w:ilvl="1">
      <w:lvlJc w:val="left"/>
      <w:lvlText w:val="%2"/>
      <w:numFmt w:val="lowerRoman"/>
      <w:start w:val="1"/>
    </w:lvl>
  </w:abstractNum>
  <w:abstractNum w:abstractNumId="186">
    <w:nsid w:val="612DBDDD"/>
    <w:multiLevelType w:val="hybridMultilevel"/>
    <w:lvl w:ilvl="0">
      <w:lvlJc w:val="left"/>
      <w:lvlText w:val="(%1)"/>
      <w:numFmt w:val="lowerLetter"/>
      <w:start w:val="11"/>
    </w:lvl>
    <w:lvl w:ilvl="1">
      <w:lvlJc w:val="left"/>
      <w:lvlText w:val="(%2)"/>
      <w:numFmt w:val="lowerRoman"/>
      <w:start w:val="1"/>
    </w:lvl>
  </w:abstractNum>
  <w:abstractNum w:abstractNumId="187">
    <w:nsid w:val="2109CDA4"/>
    <w:multiLevelType w:val="hybridMultilevel"/>
    <w:lvl w:ilvl="0">
      <w:lvlJc w:val="left"/>
      <w:lvlText w:val="(%1)"/>
      <w:numFmt w:val="lowerLetter"/>
      <w:start w:val="13"/>
    </w:lvl>
  </w:abstractNum>
  <w:abstractNum w:abstractNumId="188">
    <w:nsid w:val="577F5A4D"/>
    <w:multiLevelType w:val="hybridMultilevel"/>
    <w:lvl w:ilvl="0">
      <w:lvlJc w:val="left"/>
      <w:lvlText w:val="%1."/>
      <w:numFmt w:val="decimal"/>
      <w:start w:val="5"/>
    </w:lvl>
  </w:abstractNum>
  <w:abstractNum w:abstractNumId="189">
    <w:nsid w:val="2121A81"/>
    <w:multiLevelType w:val="hybridMultilevel"/>
    <w:lvl w:ilvl="0">
      <w:lvlJc w:val="left"/>
      <w:lvlText w:val="%1."/>
      <w:numFmt w:val="upperLetter"/>
      <w:start w:val="1"/>
    </w:lvl>
  </w:abstractNum>
  <w:abstractNum w:abstractNumId="190">
    <w:nsid w:val="6C2CFC88"/>
    <w:multiLevelType w:val="hybridMultilevel"/>
    <w:lvl w:ilvl="0">
      <w:lvlJc w:val="left"/>
      <w:lvlText w:val="%1."/>
      <w:numFmt w:val="upperLetter"/>
      <w:start w:val="3"/>
    </w:lvl>
  </w:abstractNum>
  <w:abstractNum w:abstractNumId="191">
    <w:nsid w:val="6D1BCF1C"/>
    <w:multiLevelType w:val="hybridMultilevel"/>
    <w:lvl w:ilvl="0">
      <w:lvlJc w:val="left"/>
      <w:lvlText w:val="%1."/>
      <w:numFmt w:val="upperLetter"/>
      <w:start w:val="1"/>
    </w:lvl>
  </w:abstractNum>
  <w:abstractNum w:abstractNumId="192">
    <w:nsid w:val="4CE5CA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3">
    <w:nsid w:val="29262D1A"/>
    <w:multiLevelType w:val="hybridMultilevel"/>
    <w:lvl w:ilvl="0">
      <w:lvlJc w:val="left"/>
      <w:lvlText w:val="%1"/>
      <w:numFmt w:val="upperLetter"/>
      <w:start w:val="1"/>
    </w:lvl>
    <w:lvl w:ilvl="1">
      <w:lvlJc w:val="left"/>
      <w:lvlText w:val="(%2)"/>
      <w:numFmt w:val="lowerRoman"/>
      <w:start w:val="4"/>
    </w:lvl>
  </w:abstractNum>
  <w:abstractNum w:abstractNumId="194">
    <w:nsid w:val="557FB7EE"/>
    <w:multiLevelType w:val="hybridMultilevel"/>
    <w:lvl w:ilvl="0">
      <w:lvlJc w:val="left"/>
      <w:lvlText w:val="(%1)"/>
      <w:numFmt w:val="upperLetter"/>
      <w:start w:val="1"/>
    </w:lvl>
    <w:lvl w:ilvl="1">
      <w:lvlJc w:val="left"/>
      <w:lvlText w:val="(%2)"/>
      <w:numFmt w:val="lowerRoman"/>
      <w:start w:val="7"/>
    </w:lvl>
  </w:abstractNum>
  <w:abstractNum w:abstractNumId="195">
    <w:nsid w:val="436F2BE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1"/>
    </w:lvl>
  </w:abstractNum>
  <w:abstractNum w:abstractNumId="196">
    <w:nsid w:val="6C8B4466"/>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197">
    <w:nsid w:val="2006E42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98">
    <w:nsid w:val="20CC134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99">
    <w:nsid w:val="95FC93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00">
    <w:nsid w:val="41D7467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01">
    <w:nsid w:val="71E5621E"/>
    <w:multiLevelType w:val="hybridMultilevel"/>
    <w:lvl w:ilvl="0">
      <w:lvlJc w:val="left"/>
      <w:lvlText w:val="%1."/>
      <w:numFmt w:val="decimal"/>
      <w:start w:val="5"/>
    </w:lvl>
  </w:abstractNum>
  <w:abstractNum w:abstractNumId="202">
    <w:nsid w:val="4E42B6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03">
    <w:nsid w:val="43F8E1A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04">
    <w:nsid w:val="69215DFB"/>
    <w:multiLevelType w:val="hybridMultilevel"/>
    <w:lvl w:ilvl="0">
      <w:lvlJc w:val="left"/>
      <w:lvlText w:val="%1"/>
      <w:numFmt w:val="lowerLetter"/>
      <w:start w:val="1"/>
    </w:lvl>
    <w:lvl w:ilvl="1">
      <w:lvlJc w:val="left"/>
      <w:lvlText w:val="(%2)"/>
      <w:numFmt w:val="lowerRoman"/>
      <w:start w:val="5"/>
    </w:lvl>
  </w:abstractNum>
  <w:abstractNum w:abstractNumId="205">
    <w:nsid w:val="7ABF196A"/>
    <w:multiLevelType w:val="hybridMultilevel"/>
    <w:lvl w:ilvl="0">
      <w:lvlJc w:val="left"/>
      <w:lvlText w:val="(%1)"/>
      <w:numFmt w:val="lowerLetter"/>
      <w:start w:val="4"/>
    </w:lvl>
    <w:lvl w:ilvl="1">
      <w:lvlJc w:val="left"/>
      <w:lvlText w:val="(%2)"/>
      <w:numFmt w:val="lowerRoman"/>
      <w:start w:val="1"/>
    </w:lvl>
  </w:abstractNum>
  <w:abstractNum w:abstractNumId="206">
    <w:nsid w:val="5E4DB968"/>
    <w:multiLevelType w:val="hybridMultilevel"/>
    <w:lvl w:ilvl="0">
      <w:lvlJc w:val="left"/>
      <w:lvlText w:val="(%1)"/>
      <w:numFmt w:val="lowerLetter"/>
      <w:start w:val="6"/>
    </w:lvl>
  </w:abstractNum>
  <w:abstractNum w:abstractNumId="207">
    <w:nsid w:val="2C06DCF3"/>
    <w:multiLevelType w:val="hybridMultilevel"/>
    <w:lvl w:ilvl="0">
      <w:lvlJc w:val="left"/>
      <w:lvlText w:val="%1"/>
      <w:numFmt w:val="lowerLetter"/>
      <w:start w:val="1"/>
    </w:lvl>
    <w:lvl w:ilvl="1">
      <w:lvlJc w:val="left"/>
      <w:lvlText w:val="(%2)"/>
      <w:numFmt w:val="lowerLetter"/>
      <w:start w:val="10"/>
    </w:lvl>
  </w:abstractNum>
  <w:abstractNum w:abstractNumId="208">
    <w:nsid w:val="2E129658"/>
    <w:multiLevelType w:val="hybridMultilevel"/>
    <w:lvl w:ilvl="0">
      <w:lvlJc w:val="left"/>
      <w:lvlText w:val="(%1)"/>
      <w:numFmt w:val="lowerLetter"/>
      <w:start w:val="35"/>
    </w:lvl>
    <w:lvl w:ilvl="1">
      <w:lvlJc w:val="left"/>
      <w:lvlText w:val="(%2)"/>
      <w:numFmt w:val="lowerLetter"/>
      <w:start w:val="11"/>
    </w:lvl>
  </w:abstractNum>
  <w:abstractNum w:abstractNumId="209">
    <w:nsid w:val="59F0446"/>
    <w:multiLevelType w:val="hybridMultilevel"/>
    <w:lvl w:ilvl="0">
      <w:lvlJc w:val="left"/>
      <w:lvlText w:val="(%1)"/>
      <w:numFmt w:val="lowerLetter"/>
      <w:start w:val="9"/>
    </w:lvl>
    <w:lvl w:ilvl="1">
      <w:lvlJc w:val="left"/>
      <w:lvlText w:val="(%2)"/>
      <w:numFmt w:val="lowerLetter"/>
      <w:start w:val="13"/>
    </w:lvl>
  </w:abstractNum>
  <w:abstractNum w:abstractNumId="210">
    <w:nsid w:val="30DF306"/>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211">
    <w:nsid w:val="A6564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2">
    <w:nsid w:val="3E5E582B"/>
    <w:multiLevelType w:val="hybridMultilevel"/>
    <w:lvl w:ilvl="0">
      <w:lvlJc w:val="left"/>
      <w:lvlText w:val="(%1)"/>
      <w:numFmt w:val="lowerLetter"/>
      <w:start w:val="2"/>
    </w:lvl>
    <w:lvl w:ilvl="1">
      <w:lvlJc w:val="left"/>
      <w:lvlText w:val="(%2)"/>
      <w:numFmt w:val="lowerRoman"/>
      <w:start w:val="1"/>
    </w:lvl>
  </w:abstractNum>
  <w:abstractNum w:abstractNumId="213">
    <w:nsid w:val="257D4626"/>
    <w:multiLevelType w:val="hybridMultilevel"/>
    <w:lvl w:ilvl="0">
      <w:lvlJc w:val="left"/>
      <w:lvlText w:val="%1"/>
      <w:numFmt w:val="decimal"/>
      <w:start w:val="1"/>
    </w:lvl>
    <w:lvl w:ilvl="1">
      <w:lvlJc w:val="left"/>
      <w:lvlText w:val="(%2)"/>
      <w:numFmt w:val="lowerLetter"/>
      <w:start w:val="3"/>
    </w:lvl>
  </w:abstractNum>
  <w:abstractNum w:abstractNumId="214">
    <w:nsid w:val="5AA8580E"/>
    <w:multiLevelType w:val="hybridMultilevel"/>
    <w:lvl w:ilvl="0">
      <w:lvlJc w:val="left"/>
      <w:lvlText w:val="%1."/>
      <w:numFmt w:val="decimal"/>
      <w:start w:val="7"/>
    </w:lvl>
    <w:lvl w:ilvl="1">
      <w:lvlJc w:val="left"/>
      <w:lvlText w:val="(%2)"/>
      <w:numFmt w:val="lowerLetter"/>
      <w:start w:val="1"/>
    </w:lvl>
  </w:abstractNum>
  <w:abstractNum w:abstractNumId="215">
    <w:nsid w:val="68FA8D0D"/>
    <w:multiLevelType w:val="hybridMultilevel"/>
    <w:lvl w:ilvl="0">
      <w:lvlJc w:val="left"/>
      <w:lvlText w:val="%1"/>
      <w:numFmt w:val="lowerLetter"/>
      <w:start w:val="1"/>
    </w:lvl>
    <w:lvl w:ilvl="1">
      <w:lvlJc w:val="left"/>
      <w:lvlText w:val="(%2)"/>
      <w:numFmt w:val="lowerLetter"/>
      <w:start w:val="3"/>
    </w:lvl>
  </w:abstractNum>
  <w:abstractNum w:abstractNumId="216">
    <w:nsid w:val="40F2CBD2"/>
    <w:multiLevelType w:val="hybridMultilevel"/>
    <w:lvl w:ilvl="0">
      <w:lvlJc w:val="left"/>
      <w:lvlText w:val="(%1)"/>
      <w:numFmt w:val="lowerLetter"/>
      <w:start w:val="9"/>
    </w:lvl>
    <w:lvl w:ilvl="1">
      <w:lvlJc w:val="left"/>
      <w:lvlText w:val="%2"/>
      <w:numFmt w:val="lowerLetter"/>
      <w:start w:val="1"/>
    </w:lvl>
  </w:abstractNum>
  <w:abstractNum w:abstractNumId="217">
    <w:nsid w:val="3BD615EB"/>
    <w:multiLevelType w:val="hybridMultilevel"/>
    <w:lvl w:ilvl="0">
      <w:lvlJc w:val="left"/>
      <w:lvlText w:val="(%1)"/>
      <w:numFmt w:val="lowerLetter"/>
      <w:start w:val="8"/>
    </w:lvl>
  </w:abstractNum>
  <w:abstractNum w:abstractNumId="218">
    <w:nsid w:val="A045AB2"/>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219">
    <w:nsid w:val="1872261F"/>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220">
    <w:nsid w:val="3DE8306C"/>
    <w:multiLevelType w:val="hybridMultilevel"/>
    <w:lvl w:ilvl="0">
      <w:lvlJc w:val="left"/>
      <w:lvlText w:val="(%1)"/>
      <w:numFmt w:val="lowerRoman"/>
      <w:start w:val="2"/>
    </w:lvl>
  </w:abstractNum>
  <w:abstractNum w:abstractNumId="221">
    <w:nsid w:val="7631573A"/>
    <w:multiLevelType w:val="hybridMultilevel"/>
    <w:lvl w:ilvl="0">
      <w:lvlJc w:val="left"/>
      <w:lvlText w:val="%1"/>
      <w:numFmt w:val="decimal"/>
      <w:start w:val="1"/>
    </w:lvl>
    <w:lvl w:ilvl="1">
      <w:lvlJc w:val="left"/>
      <w:lvlText w:val="(%2)"/>
      <w:numFmt w:val="lowerLetter"/>
      <w:start w:val="4"/>
    </w:lvl>
  </w:abstractNum>
  <w:abstractNum w:abstractNumId="222">
    <w:nsid w:val="58DF53B"/>
    <w:multiLevelType w:val="hybridMultilevel"/>
    <w:lvl w:ilvl="0">
      <w:lvlJc w:val="left"/>
      <w:lvlText w:val="%1."/>
      <w:numFmt w:val="decimal"/>
      <w:start w:val="10"/>
    </w:lvl>
    <w:lvl w:ilvl="1">
      <w:lvlJc w:val="left"/>
      <w:lvlText w:val="(%2)"/>
      <w:numFmt w:val="lowerLetter"/>
      <w:start w:val="1"/>
    </w:lvl>
  </w:abstractNum>
  <w:abstractNum w:abstractNumId="223">
    <w:nsid w:val="ACDFAC0"/>
    <w:multiLevelType w:val="hybridMultilevel"/>
    <w:lvl w:ilvl="0">
      <w:lvlJc w:val="left"/>
      <w:lvlText w:val="%1"/>
      <w:numFmt w:val="decimal"/>
      <w:start w:val="1"/>
    </w:lvl>
    <w:lvl w:ilvl="1">
      <w:lvlJc w:val="left"/>
      <w:lvlText w:val="(%2)"/>
      <w:numFmt w:val="lowerLetter"/>
      <w:start w:val="2"/>
    </w:lvl>
  </w:abstractNum>
  <w:abstractNum w:abstractNumId="224">
    <w:nsid w:val="1F578454"/>
    <w:multiLevelType w:val="hybridMultilevel"/>
    <w:lvl w:ilvl="0">
      <w:lvlJc w:val="left"/>
      <w:lvlText w:val="%1."/>
      <w:numFmt w:val="decimal"/>
      <w:start w:val="11"/>
    </w:lvl>
    <w:lvl w:ilvl="1">
      <w:lvlJc w:val="left"/>
      <w:lvlText w:val="%2"/>
      <w:numFmt w:val="lowerLetter"/>
      <w:start w:val="1"/>
    </w:lvl>
  </w:abstractNum>
  <w:abstractNum w:abstractNumId="225">
    <w:nsid w:val="5B0DAD2A"/>
    <w:multiLevelType w:val="hybridMultilevel"/>
    <w:lvl w:ilvl="0">
      <w:lvlJc w:val="left"/>
      <w:lvlText w:val="%1."/>
      <w:numFmt w:val="decimal"/>
      <w:start w:val="12"/>
    </w:lvl>
  </w:abstractNum>
  <w:abstractNum w:abstractNumId="226">
    <w:nsid w:val="4E3D26AB"/>
    <w:multiLevelType w:val="hybridMultilevel"/>
    <w:lvl w:ilvl="0">
      <w:lvlJc w:val="left"/>
      <w:lvlText w:val="%1."/>
      <w:numFmt w:val="decimal"/>
      <w:start w:val="13"/>
    </w:lvl>
  </w:abstractNum>
  <w:abstractNum w:abstractNumId="227">
    <w:nsid w:val="BE2C8BA"/>
    <w:multiLevelType w:val="hybridMultilevel"/>
    <w:lvl w:ilvl="0">
      <w:lvlJc w:val="left"/>
      <w:lvlText w:val="(%1)"/>
      <w:numFmt w:val="lowerLetter"/>
      <w:start w:val="1"/>
    </w:lvl>
  </w:abstractNum>
  <w:abstractNum w:abstractNumId="228">
    <w:nsid w:val="7B14914E"/>
    <w:multiLevelType w:val="hybridMultilevel"/>
    <w:lvl w:ilvl="0">
      <w:lvlJc w:val="left"/>
      <w:lvlText w:val="(%1)"/>
      <w:numFmt w:val="lowerLetter"/>
      <w:start w:val="2"/>
    </w:lvl>
    <w:lvl w:ilvl="1">
      <w:lvlJc w:val="left"/>
      <w:lvlText w:val="(%2)"/>
      <w:numFmt w:val="lowerLetter"/>
      <w:start w:val="9"/>
    </w:lvl>
  </w:abstractNum>
  <w:abstractNum w:abstractNumId="229">
    <w:nsid w:val="6F0939F8"/>
    <w:multiLevelType w:val="hybridMultilevel"/>
    <w:lvl w:ilvl="0">
      <w:lvlJc w:val="left"/>
      <w:lvlText w:val="(%1)"/>
      <w:numFmt w:val="upperLetter"/>
      <w:start w:val="3"/>
    </w:lvl>
    <w:lvl w:ilvl="1">
      <w:lvlJc w:val="left"/>
      <w:lvlText w:val="(%2)"/>
      <w:numFmt w:val="lowerRoman"/>
      <w:start w:val="2"/>
    </w:lvl>
  </w:abstractNum>
  <w:abstractNum w:abstractNumId="230">
    <w:nsid w:val="154291F6"/>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231">
    <w:nsid w:val="3CEBD7C7"/>
    <w:multiLevelType w:val="hybridMultilevel"/>
    <w:lvl w:ilvl="0">
      <w:lvlJc w:val="left"/>
      <w:lvlText w:val="(%1)"/>
      <w:numFmt w:val="lowerLetter"/>
      <w:start w:val="9"/>
    </w:lvl>
    <w:lvl w:ilvl="1">
      <w:lvlJc w:val="left"/>
      <w:lvlText w:val="(%2)"/>
      <w:numFmt w:val="lowerLetter"/>
      <w:start w:val="12"/>
    </w:lvl>
    <w:lvl w:ilvl="2">
      <w:lvlJc w:val="left"/>
      <w:lvlText w:val="(%3)"/>
      <w:numFmt w:val="lowerRoman"/>
      <w:start w:val="1"/>
    </w:lvl>
  </w:abstractNum>
  <w:abstractNum w:abstractNumId="232">
    <w:nsid w:val="60EE9C16"/>
    <w:multiLevelType w:val="hybridMultilevel"/>
    <w:lvl w:ilvl="0">
      <w:lvlJc w:val="left"/>
      <w:lvlText w:val="%1"/>
      <w:numFmt w:val="lowerLetter"/>
      <w:start w:val="1"/>
    </w:lvl>
    <w:lvl w:ilvl="1">
      <w:lvlJc w:val="left"/>
      <w:lvlText w:val="(%2)"/>
      <w:numFmt w:val="lowerRoman"/>
      <w:start w:val="4"/>
    </w:lvl>
  </w:abstractNum>
  <w:abstractNum w:abstractNumId="233">
    <w:nsid w:val="6385489E"/>
    <w:multiLevelType w:val="hybridMultilevel"/>
    <w:lvl w:ilvl="0">
      <w:lvlJc w:val="left"/>
      <w:lvlText w:val="(%1)"/>
      <w:numFmt w:val="lowerLetter"/>
      <w:start w:val="13"/>
    </w:lvl>
    <w:lvl w:ilvl="1">
      <w:lvlJc w:val="left"/>
      <w:lvlText w:val="%2"/>
      <w:numFmt w:val="lowerRoman"/>
      <w:start w:val="1"/>
    </w:lvl>
  </w:abstractNum>
  <w:abstractNum w:abstractNumId="234">
    <w:nsid w:val="E4B973"/>
    <w:multiLevelType w:val="hybridMultilevel"/>
    <w:lvl w:ilvl="0">
      <w:lvlJc w:val="left"/>
      <w:lvlText w:val="(%1)"/>
      <w:numFmt w:val="lowerLetter"/>
      <w:start w:val="23"/>
    </w:lvl>
  </w:abstractNum>
  <w:abstractNum w:abstractNumId="235">
    <w:nsid w:val="4A0FFA11"/>
    <w:multiLevelType w:val="hybridMultilevel"/>
    <w:lvl w:ilvl="0">
      <w:lvlJc w:val="left"/>
      <w:lvlText w:val="(%1)"/>
      <w:numFmt w:val="lowerLetter"/>
      <w:start w:val="27"/>
    </w:lvl>
  </w:abstractNum>
  <w:abstractNum w:abstractNumId="236">
    <w:nsid w:val="5E446208"/>
    <w:multiLevelType w:val="hybridMultilevel"/>
    <w:lvl w:ilvl="0">
      <w:lvlJc w:val="left"/>
      <w:lvlText w:val="(%1)"/>
      <w:numFmt w:val="lowerLetter"/>
      <w:start w:val="38"/>
    </w:lvl>
  </w:abstractNum>
  <w:abstractNum w:abstractNumId="237">
    <w:nsid w:val="5F3272DB"/>
    <w:multiLevelType w:val="hybridMultilevel"/>
    <w:lvl w:ilvl="0">
      <w:lvlJc w:val="left"/>
      <w:lvlText w:val="%1"/>
      <w:numFmt w:val="decimal"/>
      <w:start w:val="1"/>
    </w:lvl>
    <w:lvl w:ilvl="1">
      <w:lvlJc w:val="left"/>
      <w:lvlText w:val="☐"/>
      <w:numFmt w:val="bullet"/>
      <w:start w:val="1"/>
    </w:lvl>
  </w:abstractNum>
  <w:abstractNum w:abstractNumId="238">
    <w:nsid w:val="7616D70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9">
    <w:nsid w:val="C56F86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40">
    <w:nsid w:val="64D17722"/>
    <w:multiLevelType w:val="hybridMultilevel"/>
    <w:lvl w:ilvl="0">
      <w:lvlJc w:val="left"/>
      <w:lvlText w:val="%1"/>
      <w:numFmt w:val="decimal"/>
      <w:start w:val="1"/>
    </w:lvl>
    <w:lvl w:ilvl="1">
      <w:lvlJc w:val="left"/>
      <w:lvlText w:val="(%2)"/>
      <w:numFmt w:val="lowerLetter"/>
      <w:start w:val="2"/>
    </w:lvl>
  </w:abstractNum>
  <w:abstractNum w:abstractNumId="241">
    <w:nsid w:val="7924CA0A"/>
    <w:multiLevelType w:val="hybridMultilevel"/>
    <w:lvl w:ilvl="0">
      <w:lvlJc w:val="left"/>
      <w:lvlText w:val="%1."/>
      <w:numFmt w:val="decimal"/>
      <w:start w:val="5"/>
    </w:lvl>
    <w:lvl w:ilvl="1">
      <w:lvlJc w:val="left"/>
      <w:lvlText w:val="(%2)"/>
      <w:numFmt w:val="lowerLetter"/>
      <w:start w:val="1"/>
    </w:lvl>
  </w:abstractNum>
  <w:abstractNum w:abstractNumId="242">
    <w:nsid w:val="CFD4EA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43">
    <w:nsid w:val="232FCF4D"/>
    <w:multiLevelType w:val="hybridMultilevel"/>
    <w:lvl w:ilvl="0">
      <w:lvlJc w:val="left"/>
      <w:lvlText w:val="(%1)"/>
      <w:numFmt w:val="decimal"/>
      <w:start w:val="2"/>
    </w:lvl>
    <w:lvl w:ilvl="1">
      <w:lvlJc w:val="left"/>
      <w:lvlText w:val="%2."/>
      <w:numFmt w:val="decimal"/>
      <w:start w:val="5"/>
    </w:lvl>
    <w:lvl w:ilvl="2">
      <w:lvlJc w:val="left"/>
      <w:lvlText w:val="(%3)"/>
      <w:numFmt w:val="lowerLetter"/>
      <w:start w:val="1"/>
    </w:lvl>
    <w:lvl w:ilvl="3">
      <w:lvlJc w:val="left"/>
      <w:lvlText w:val="(%4)"/>
      <w:numFmt w:val="lowerRoman"/>
      <w:start w:val="3"/>
    </w:lvl>
  </w:abstractNum>
  <w:abstractNum w:abstractNumId="244">
    <w:nsid w:val="1EA21031"/>
    <w:multiLevelType w:val="hybridMultilevel"/>
    <w:lvl w:ilvl="0">
      <w:lvlJc w:val="left"/>
      <w:lvlText w:val="(%1)"/>
      <w:numFmt w:val="lowerLetter"/>
      <w:start w:val="4"/>
    </w:lvl>
  </w:abstractNum>
  <w:abstractNum w:abstractNumId="245">
    <w:nsid w:val="67A5A6B5"/>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246">
    <w:nsid w:val="C2A5C5B"/>
    <w:multiLevelType w:val="hybridMultilevel"/>
    <w:lvl w:ilvl="0">
      <w:lvlJc w:val="left"/>
      <w:lvlText w:val="(%1)"/>
      <w:numFmt w:val="decimal"/>
      <w:start w:val="15"/>
    </w:lvl>
    <w:lvl w:ilvl="1">
      <w:lvlJc w:val="left"/>
      <w:lvlText w:val="%2"/>
      <w:numFmt w:val="decimal"/>
      <w:start w:val="1"/>
    </w:lvl>
    <w:lvl w:ilvl="2">
      <w:lvlJc w:val="left"/>
      <w:lvlText w:val="(%3)"/>
      <w:numFmt w:val="lowerLetter"/>
      <w:start w:val="4"/>
    </w:lvl>
  </w:abstractNum>
  <w:abstractNum w:abstractNumId="247">
    <w:nsid w:val="5F94DC03"/>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248">
    <w:nsid w:val="237BBCA0"/>
    <w:multiLevelType w:val="hybridMultilevel"/>
    <w:lvl w:ilvl="0">
      <w:lvlJc w:val="left"/>
      <w:lvlText w:val="%1"/>
      <w:numFmt w:val="lowerLetter"/>
      <w:start w:val="1"/>
    </w:lvl>
    <w:lvl w:ilvl="1">
      <w:lvlJc w:val="left"/>
      <w:lvlText w:val="(%2)"/>
      <w:numFmt w:val="lowerRoman"/>
      <w:start w:val="2"/>
    </w:lvl>
  </w:abstractNum>
  <w:abstractNum w:abstractNumId="249">
    <w:nsid w:val="162EB70D"/>
    <w:multiLevelType w:val="hybridMultilevel"/>
    <w:lvl w:ilvl="0">
      <w:lvlJc w:val="left"/>
      <w:lvlText w:val="(%1)"/>
      <w:numFmt w:val="lowerLetter"/>
      <w:start w:val="2"/>
    </w:lvl>
    <w:lvl w:ilvl="1">
      <w:lvlJc w:val="left"/>
      <w:lvlText w:val="%2"/>
      <w:numFmt w:val="lowerRoman"/>
      <w:start w:val="1"/>
    </w:lvl>
  </w:abstractNum>
  <w:abstractNum w:abstractNumId="250">
    <w:nsid w:val="78070222"/>
    <w:multiLevelType w:val="hybridMultilevel"/>
    <w:lvl w:ilvl="0">
      <w:lvlJc w:val="left"/>
      <w:lvlText w:val="%1"/>
      <w:numFmt w:val="decimal"/>
      <w:start w:val="1"/>
    </w:lvl>
    <w:lvl w:ilvl="1">
      <w:lvlJc w:val="left"/>
      <w:lvlText w:val="(%2)"/>
      <w:numFmt w:val="lowerLetter"/>
      <w:start w:val="3"/>
    </w:lvl>
  </w:abstractNum>
  <w:abstractNum w:abstractNumId="251">
    <w:nsid w:val="6163ED0D"/>
    <w:multiLevelType w:val="hybridMultilevel"/>
    <w:lvl w:ilvl="0">
      <w:lvlJc w:val="left"/>
      <w:lvlText w:val="%1."/>
      <w:numFmt w:val="decimal"/>
      <w:start w:val="12"/>
    </w:lvl>
    <w:lvl w:ilvl="1">
      <w:lvlJc w:val="left"/>
      <w:lvlText w:val="(%2)"/>
      <w:numFmt w:val="lowerLetter"/>
      <w:start w:val="1"/>
    </w:lvl>
  </w:abstractNum>
  <w:abstractNum w:abstractNumId="252">
    <w:nsid w:val="C600E47"/>
    <w:multiLevelType w:val="hybridMultilevel"/>
    <w:lvl w:ilvl="0">
      <w:lvlJc w:val="left"/>
      <w:lvlText w:val="%1"/>
      <w:numFmt w:val="decimal"/>
      <w:start w:val="1"/>
    </w:lvl>
    <w:lvl w:ilvl="1">
      <w:lvlJc w:val="left"/>
      <w:lvlText w:val="(%2)"/>
      <w:numFmt w:val="lowerLetter"/>
      <w:start w:val="3"/>
    </w:lvl>
  </w:abstractNum>
  <w:abstractNum w:abstractNumId="253">
    <w:nsid w:val="7D94F75D"/>
    <w:multiLevelType w:val="hybridMultilevel"/>
    <w:lvl w:ilvl="0">
      <w:lvlJc w:val="left"/>
      <w:lvlText w:val="%1."/>
      <w:numFmt w:val="decimal"/>
      <w:start w:val="15"/>
    </w:lvl>
    <w:lvl w:ilvl="1">
      <w:lvlJc w:val="left"/>
      <w:lvlText w:val="%2"/>
      <w:numFmt w:val="lowerLetter"/>
      <w:start w:val="1"/>
    </w:lvl>
  </w:abstractNum>
  <w:abstractNum w:abstractNumId="254">
    <w:nsid w:val="6C31E7CD"/>
    <w:multiLevelType w:val="hybridMultilevel"/>
    <w:lvl w:ilvl="0">
      <w:lvlJc w:val="left"/>
      <w:lvlText w:val="(%1)"/>
      <w:numFmt w:val="lowerRoman"/>
      <w:start w:val="3"/>
    </w:lvl>
  </w:abstractNum>
  <w:abstractNum w:abstractNumId="255">
    <w:nsid w:val="2BB7929B"/>
    <w:multiLevelType w:val="hybridMultilevel"/>
    <w:lvl w:ilvl="0">
      <w:lvlJc w:val="left"/>
      <w:lvlText w:val="%1."/>
      <w:numFmt w:val="decimal"/>
      <w:start w:val="1"/>
    </w:lvl>
    <w:lvl w:ilvl="1">
      <w:lvlJc w:val="left"/>
      <w:lvlText w:val="(%2)"/>
      <w:numFmt w:val="lowerLetter"/>
      <w:start w:val="1"/>
    </w:lvl>
  </w:abstractNum>
  <w:abstractNum w:abstractNumId="256">
    <w:nsid w:val="58A2A487"/>
    <w:multiLevelType w:val="hybridMultilevel"/>
    <w:lvl w:ilvl="0">
      <w:lvlJc w:val="left"/>
      <w:lvlText w:val="%1"/>
      <w:numFmt w:val="upperLetter"/>
      <w:start w:val="1"/>
    </w:lvl>
    <w:lvl w:ilvl="1">
      <w:lvlJc w:val="left"/>
      <w:lvlText w:val="(%2)"/>
      <w:numFmt w:val="lowerRoman"/>
      <w:start w:val="1"/>
    </w:lvl>
  </w:abstractNum>
  <w:abstractNum w:abstractNumId="257">
    <w:nsid w:val="3A6F0E78"/>
    <w:multiLevelType w:val="hybridMultilevel"/>
    <w:lvl w:ilvl="0">
      <w:lvlJc w:val="left"/>
      <w:lvlText w:val="(%1)"/>
      <w:numFmt w:val="upperLetter"/>
      <w:start w:val="4"/>
    </w:lvl>
    <w:lvl w:ilvl="1">
      <w:lvlJc w:val="left"/>
      <w:lvlText w:val="(%2)"/>
      <w:numFmt w:val="lowerRoman"/>
      <w:start w:val="2"/>
    </w:lvl>
  </w:abstractNum>
  <w:abstractNum w:abstractNumId="258">
    <w:nsid w:val="379A5B56"/>
    <w:multiLevelType w:val="hybridMultilevel"/>
    <w:lvl w:ilvl="0">
      <w:lvlJc w:val="left"/>
      <w:lvlText w:val="%1"/>
      <w:numFmt w:val="upperLetter"/>
      <w:start w:val="1"/>
    </w:lvl>
    <w:lvl w:ilvl="1">
      <w:lvlJc w:val="left"/>
      <w:lvlText w:val="(%2)"/>
      <w:numFmt w:val="lowerRoman"/>
      <w:start w:val="4"/>
    </w:lvl>
  </w:abstractNum>
  <w:abstractNum w:abstractNumId="259">
    <w:nsid w:val="53B735D5"/>
    <w:multiLevelType w:val="hybridMultilevel"/>
    <w:lvl w:ilvl="0">
      <w:lvlJc w:val="left"/>
      <w:lvlText w:val="(%1)"/>
      <w:numFmt w:val="upperLetter"/>
      <w:start w:val="1"/>
    </w:lvl>
    <w:lvl w:ilvl="1">
      <w:lvlJc w:val="left"/>
      <w:lvlText w:val="(%2)"/>
      <w:numFmt w:val="lowerRoman"/>
      <w:start w:val="7"/>
    </w:lvl>
  </w:abstractNum>
  <w:abstractNum w:abstractNumId="260">
    <w:nsid w:val="297848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261">
    <w:nsid w:val="4CDCED4C"/>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262">
    <w:nsid w:val="10A30D9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63">
    <w:nsid w:val="A66E48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64">
    <w:nsid w:val="306235EA"/>
    <w:multiLevelType w:val="hybridMultilevel"/>
    <w:lvl w:ilvl="0">
      <w:lvlJc w:val="left"/>
      <w:lvlText w:val="%1"/>
      <w:numFmt w:val="lowerLetter"/>
      <w:start w:val="1"/>
    </w:lvl>
    <w:lvl w:ilvl="1">
      <w:lvlJc w:val="left"/>
      <w:lvlText w:val="(%2)"/>
      <w:numFmt w:val="lowerRoman"/>
      <w:start w:val="1"/>
    </w:lvl>
  </w:abstractNum>
  <w:abstractNum w:abstractNumId="265">
    <w:nsid w:val="1187C70F"/>
    <w:multiLevelType w:val="hybridMultilevel"/>
    <w:lvl w:ilvl="0">
      <w:lvlJc w:val="left"/>
      <w:lvlText w:val="(%1)"/>
      <w:numFmt w:val="lowerLetter"/>
      <w:start w:val="2"/>
    </w:lvl>
    <w:lvl w:ilvl="1">
      <w:lvlJc w:val="left"/>
      <w:lvlText w:val="%2"/>
      <w:numFmt w:val="lowerRoman"/>
      <w:start w:val="1"/>
    </w:lvl>
  </w:abstractNum>
  <w:abstractNum w:abstractNumId="266">
    <w:nsid w:val="5476DE98"/>
    <w:multiLevelType w:val="hybridMultilevel"/>
    <w:lvl w:ilvl="0">
      <w:lvlJc w:val="left"/>
      <w:lvlText w:val="%1"/>
      <w:numFmt w:val="decimal"/>
      <w:start w:val="1"/>
    </w:lvl>
    <w:lvl w:ilvl="1">
      <w:lvlJc w:val="left"/>
      <w:lvlText w:val="(%2)"/>
      <w:numFmt w:val="lowerLetter"/>
      <w:start w:val="3"/>
    </w:lvl>
  </w:abstractNum>
  <w:abstractNum w:abstractNumId="267">
    <w:nsid w:val="EA697F2"/>
    <w:multiLevelType w:val="hybridMultilevel"/>
    <w:lvl w:ilvl="0">
      <w:lvlJc w:val="left"/>
      <w:lvlText w:val="%1."/>
      <w:numFmt w:val="decimal"/>
      <w:start w:val="4"/>
    </w:lvl>
    <w:lvl w:ilvl="1">
      <w:lvlJc w:val="left"/>
      <w:lvlText w:val="(%2)"/>
      <w:numFmt w:val="lowerLetter"/>
      <w:start w:val="1"/>
    </w:lvl>
  </w:abstractNum>
  <w:abstractNum w:abstractNumId="268">
    <w:nsid w:val="70BA39EB"/>
    <w:multiLevelType w:val="hybridMultilevel"/>
    <w:lvl w:ilvl="0">
      <w:lvlJc w:val="left"/>
      <w:lvlText w:val="(%1)"/>
      <w:numFmt w:val="lowerLetter"/>
      <w:start w:val="1"/>
    </w:lvl>
    <w:lvl w:ilvl="1">
      <w:lvlJc w:val="left"/>
      <w:lvlText w:val="(%2)"/>
      <w:numFmt w:val="lowerRoman"/>
      <w:start w:val="1"/>
    </w:lvl>
  </w:abstractNum>
  <w:abstractNum w:abstractNumId="269">
    <w:nsid w:val="4A8DB59C"/>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22"/>
    </w:lvl>
  </w:abstractNum>
  <w:abstractNum w:abstractNumId="270">
    <w:nsid w:val="1AFD905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71">
    <w:nsid w:val="558BB10D"/>
    <w:multiLevelType w:val="hybridMultilevel"/>
    <w:lvl w:ilvl="0">
      <w:lvlJc w:val="left"/>
      <w:lvlText w:val="(%1)"/>
      <w:numFmt w:val="lowerRoman"/>
      <w:start w:val="2"/>
    </w:lvl>
  </w:abstractNum>
  <w:abstractNum w:abstractNumId="272">
    <w:nsid w:val="43B27FA7"/>
    <w:multiLevelType w:val="hybridMultilevel"/>
    <w:lvl w:ilvl="0">
      <w:lvlJc w:val="left"/>
      <w:lvlText w:val="(%1)"/>
      <w:numFmt w:val="lowerLetter"/>
      <w:start w:val="6"/>
    </w:lvl>
  </w:abstractNum>
  <w:abstractNum w:abstractNumId="273">
    <w:nsid w:val="27FADEFA"/>
    <w:multiLevelType w:val="hybridMultilevel"/>
    <w:lvl w:ilvl="0">
      <w:lvlJc w:val="left"/>
      <w:lvlText w:val="(%1)"/>
      <w:numFmt w:val="lowerLetter"/>
      <w:start w:val="9"/>
    </w:lvl>
  </w:abstractNum>
  <w:abstractNum w:abstractNumId="274">
    <w:nsid w:val="78BB805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75">
    <w:nsid w:val="62548FD8"/>
    <w:multiLevelType w:val="hybridMultilevel"/>
    <w:lvl w:ilvl="0">
      <w:lvlJc w:val="left"/>
      <w:lvlText w:val="%1"/>
      <w:numFmt w:val="lowerLetter"/>
      <w:start w:val="1"/>
    </w:lvl>
    <w:lvl w:ilvl="1">
      <w:lvlJc w:val="left"/>
      <w:lvlText w:val="(%2)"/>
      <w:numFmt w:val="lowerRoman"/>
      <w:start w:val="1"/>
    </w:lvl>
  </w:abstractNum>
  <w:abstractNum w:abstractNumId="276">
    <w:nsid w:val="FA085B0"/>
    <w:multiLevelType w:val="hybridMultilevel"/>
    <w:lvl w:ilvl="0">
      <w:lvlJc w:val="left"/>
      <w:lvlText w:val="(%1)"/>
      <w:numFmt w:val="lowerLetter"/>
      <w:start w:val="3"/>
    </w:lvl>
    <w:lvl w:ilvl="1">
      <w:lvlJc w:val="left"/>
      <w:lvlText w:val="(%2)"/>
      <w:numFmt w:val="lowerRoman"/>
      <w:start w:val="1"/>
    </w:lvl>
  </w:abstractNum>
  <w:abstractNum w:abstractNumId="277">
    <w:nsid w:val="4E5DC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8">
    <w:nsid w:val="41E96BD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79">
    <w:nsid w:val="331C425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0">
    <w:nsid w:val="1B1493C2"/>
    <w:multiLevelType w:val="hybridMultilevel"/>
    <w:lvl w:ilvl="0">
      <w:lvlJc w:val="left"/>
      <w:lvlText w:val="%1"/>
      <w:numFmt w:val="decimal"/>
      <w:start w:val="1"/>
    </w:lvl>
    <w:lvl w:ilvl="1">
      <w:lvlJc w:val="left"/>
      <w:lvlText w:val="(%2)"/>
      <w:numFmt w:val="lowerLetter"/>
      <w:start w:val="3"/>
    </w:lvl>
  </w:abstractNum>
  <w:abstractNum w:abstractNumId="281">
    <w:nsid w:val="39F06DFD"/>
    <w:multiLevelType w:val="hybridMultilevel"/>
    <w:lvl w:ilvl="0">
      <w:lvlJc w:val="left"/>
      <w:lvlText w:val="%1."/>
      <w:numFmt w:val="decimal"/>
      <w:start w:val="8"/>
    </w:lvl>
    <w:lvl w:ilvl="1">
      <w:lvlJc w:val="left"/>
      <w:lvlText w:val="(%2)"/>
      <w:numFmt w:val="lowerLetter"/>
      <w:start w:val="1"/>
    </w:lvl>
  </w:abstractNum>
  <w:abstractNum w:abstractNumId="282">
    <w:nsid w:val="14802F5D"/>
    <w:multiLevelType w:val="hybridMultilevel"/>
    <w:lvl w:ilvl="0">
      <w:lvlJc w:val="left"/>
      <w:lvlText w:val="(%1)"/>
      <w:numFmt w:val="lowerLetter"/>
      <w:start w:val="5"/>
    </w:lvl>
  </w:abstractNum>
  <w:abstractNum w:abstractNumId="283">
    <w:nsid w:val="2774A209"/>
    <w:multiLevelType w:val="hybridMultilevel"/>
    <w:lvl w:ilvl="0">
      <w:lvlJc w:val="left"/>
      <w:lvlText w:val="(%1)"/>
      <w:numFmt w:val="lowerLetter"/>
      <w:start w:val="9"/>
    </w:lvl>
  </w:abstractNum>
  <w:abstractNum w:abstractNumId="284">
    <w:nsid w:val="3785655A"/>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
    </w:lvl>
  </w:abstractNum>
  <w:abstractNum w:abstractNumId="285">
    <w:nsid w:val="B2172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286">
    <w:nsid w:val="532C34A5"/>
    <w:multiLevelType w:val="hybridMultilevel"/>
    <w:lvl w:ilvl="0">
      <w:lvlJc w:val="left"/>
      <w:lvlText w:val="(%1)"/>
      <w:numFmt w:val="lowerRoman"/>
      <w:start w:val="2"/>
    </w:lvl>
  </w:abstractNum>
  <w:abstractNum w:abstractNumId="287">
    <w:nsid w:val="102809E2"/>
    <w:multiLevelType w:val="hybridMultilevel"/>
    <w:lvl w:ilvl="0">
      <w:lvlJc w:val="left"/>
      <w:lvlText w:val="(%1)"/>
      <w:numFmt w:val="lowerLetter"/>
      <w:start w:val="4"/>
    </w:lvl>
  </w:abstractNum>
  <w:abstractNum w:abstractNumId="288">
    <w:nsid w:val="3B2125A3"/>
    <w:multiLevelType w:val="hybridMultilevel"/>
    <w:lvl w:ilvl="0">
      <w:lvlJc w:val="left"/>
      <w:lvlText w:val="%1."/>
      <w:numFmt w:val="decimal"/>
      <w:start w:val="10"/>
    </w:lvl>
  </w:abstractNum>
  <w:abstractNum w:abstractNumId="289">
    <w:nsid w:val="AC68FFB"/>
    <w:multiLevelType w:val="hybridMultilevel"/>
    <w:lvl w:ilvl="0">
      <w:lvlJc w:val="left"/>
      <w:lvlText w:val="(%1)"/>
      <w:numFmt w:val="lowerRoman"/>
      <w:start w:val="1"/>
    </w:lvl>
  </w:abstractNum>
  <w:abstractNum w:abstractNumId="290">
    <w:nsid w:val="63DF3FB7"/>
    <w:multiLevelType w:val="hybridMultilevel"/>
    <w:lvl w:ilvl="0">
      <w:lvlJc w:val="left"/>
      <w:lvlText w:val="%1."/>
      <w:numFmt w:val="decimal"/>
      <w:start w:val="11"/>
    </w:lvl>
  </w:abstractNum>
  <w:abstractNum w:abstractNumId="291">
    <w:nsid w:val="64996E13"/>
    <w:multiLevelType w:val="hybridMultilevel"/>
    <w:lvl w:ilvl="0">
      <w:lvlJc w:val="left"/>
      <w:lvlText w:val="%1."/>
      <w:numFmt w:val="decimal"/>
      <w:start w:val="12"/>
    </w:lvl>
  </w:abstractNum>
  <w:abstractNum w:abstractNumId="292">
    <w:nsid w:val="57A37D47"/>
    <w:multiLevelType w:val="hybridMultilevel"/>
    <w:lvl w:ilvl="0">
      <w:lvlJc w:val="left"/>
      <w:lvlText w:val="%1."/>
      <w:numFmt w:val="decimal"/>
      <w:start w:val="13"/>
    </w:lvl>
    <w:lvl w:ilvl="1">
      <w:lvlJc w:val="left"/>
      <w:lvlText w:val="(%2)"/>
      <w:numFmt w:val="lowerLetter"/>
      <w:start w:val="1"/>
    </w:lvl>
  </w:abstractNum>
  <w:abstractNum w:abstractNumId="293">
    <w:nsid w:val="74824D54"/>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abstractNum>
  <w:abstractNum w:abstractNumId="294">
    <w:nsid w:val="6F00529A"/>
    <w:multiLevelType w:val="hybridMultilevel"/>
    <w:lvl w:ilvl="0">
      <w:lvlJc w:val="left"/>
      <w:lvlText w:val="(%1)"/>
      <w:numFmt w:val="lowerLetter"/>
      <w:start w:val="61"/>
    </w:lvl>
    <w:lvl w:ilvl="1">
      <w:lvlJc w:val="left"/>
      <w:lvlText w:val="(%2)"/>
      <w:numFmt w:val="lowerLetter"/>
      <w:start w:val="9"/>
    </w:lvl>
    <w:lvl w:ilvl="2">
      <w:lvlJc w:val="left"/>
      <w:lvlText w:val="(%3)"/>
      <w:numFmt w:val="lowerLetter"/>
      <w:start w:val="9"/>
    </w:lvl>
  </w:abstractNum>
  <w:abstractNum w:abstractNumId="295">
    <w:nsid w:val="805B331"/>
    <w:multiLevelType w:val="hybridMultilevel"/>
    <w:lvl w:ilvl="0">
      <w:lvlJc w:val="left"/>
      <w:lvlText w:val="(%1)"/>
      <w:numFmt w:val="lowerRoman"/>
      <w:start w:val="2"/>
    </w:lvl>
  </w:abstractNum>
  <w:abstractNum w:abstractNumId="296">
    <w:nsid w:val="60A1463"/>
    <w:multiLevelType w:val="hybridMultilevel"/>
    <w:lvl w:ilvl="0">
      <w:lvlJc w:val="left"/>
      <w:lvlText w:val="%1"/>
      <w:numFmt w:val="lowerLetter"/>
      <w:start w:val="1"/>
    </w:lvl>
    <w:lvl w:ilvl="1">
      <w:lvlJc w:val="left"/>
      <w:lvlText w:val="(%2)"/>
      <w:numFmt w:val="lowerLetter"/>
      <w:start w:val="10"/>
    </w:lvl>
  </w:abstractNum>
  <w:abstractNum w:abstractNumId="297">
    <w:nsid w:val="43773132"/>
    <w:multiLevelType w:val="hybridMultilevel"/>
    <w:lvl w:ilvl="0">
      <w:lvlJc w:val="left"/>
      <w:lvlText w:val="(%1)"/>
      <w:numFmt w:val="lowerLetter"/>
      <w:start w:val="9"/>
    </w:lvl>
    <w:lvl w:ilvl="1">
      <w:lvlJc w:val="left"/>
      <w:lvlText w:val="%2"/>
      <w:numFmt w:val="lowerLetter"/>
      <w:start w:val="1"/>
    </w:lvl>
  </w:abstractNum>
  <w:abstractNum w:abstractNumId="298">
    <w:nsid w:val="16AC4B23"/>
    <w:multiLevelType w:val="hybridMultilevel"/>
    <w:lvl w:ilvl="0">
      <w:lvlJc w:val="left"/>
      <w:lvlText w:val="(%1)"/>
      <w:numFmt w:val="lowerLetter"/>
      <w:start w:val="16"/>
    </w:lvl>
    <w:lvl w:ilvl="1">
      <w:lvlJc w:val="left"/>
      <w:lvlText w:val="(%2)"/>
      <w:numFmt w:val="lowerRoman"/>
      <w:start w:val="1"/>
    </w:lvl>
  </w:abstractNum>
  <w:abstractNum w:abstractNumId="299">
    <w:nsid w:val="76C44E4E"/>
    <w:multiLevelType w:val="hybridMultilevel"/>
    <w:lvl w:ilvl="0">
      <w:lvlJc w:val="left"/>
      <w:lvlText w:val="(%1)"/>
      <w:numFmt w:val="lowerLetter"/>
      <w:start w:val="17"/>
    </w:lvl>
  </w:abstractNum>
  <w:abstractNum w:abstractNumId="300">
    <w:nsid w:val="E04E6CE"/>
    <w:multiLevelType w:val="hybridMultilevel"/>
    <w:lvl w:ilvl="0">
      <w:lvlJc w:val="left"/>
      <w:lvlText w:val="(%1)"/>
      <w:numFmt w:val="lowerLetter"/>
      <w:start w:val="21"/>
    </w:lvl>
    <w:lvl w:ilvl="1">
      <w:lvlJc w:val="left"/>
      <w:lvlText w:val="(%2)"/>
      <w:numFmt w:val="lowerRoman"/>
      <w:start w:val="1"/>
    </w:lvl>
  </w:abstractNum>
  <w:abstractNum w:abstractNumId="301">
    <w:nsid w:val="31A9DB76"/>
    <w:multiLevelType w:val="hybridMultilevel"/>
    <w:lvl w:ilvl="0">
      <w:lvlJc w:val="left"/>
      <w:lvlText w:val="(%1)"/>
      <w:numFmt w:val="lowerLetter"/>
      <w:start w:val="27"/>
    </w:lvl>
  </w:abstractNum>
  <w:abstractNum w:abstractNumId="302">
    <w:nsid w:val="4C4FFF5B"/>
    <w:multiLevelType w:val="hybridMultilevel"/>
    <w:lvl w:ilvl="0">
      <w:lvlJc w:val="left"/>
      <w:lvlText w:val="(%1)"/>
      <w:numFmt w:val="lowerLetter"/>
      <w:start w:val="28"/>
    </w:lvl>
  </w:abstractNum>
  <w:abstractNum w:abstractNumId="303">
    <w:nsid w:val="51B76675"/>
    <w:multiLevelType w:val="hybridMultilevel"/>
    <w:lvl w:ilvl="0">
      <w:lvlJc w:val="left"/>
      <w:lvlText w:val="%1"/>
      <w:numFmt w:val="decimal"/>
      <w:start w:val="1"/>
    </w:lvl>
    <w:lvl w:ilvl="1">
      <w:lvlJc w:val="left"/>
      <w:lvlText w:val="(%2)"/>
      <w:numFmt w:val="lowerLetter"/>
      <w:start w:val="39"/>
    </w:lvl>
  </w:abstractNum>
  <w:abstractNum w:abstractNumId="304">
    <w:nsid w:val="59A4BA71"/>
    <w:multiLevelType w:val="hybridMultilevel"/>
    <w:lvl w:ilvl="0">
      <w:lvlJc w:val="left"/>
      <w:lvlText w:val="(%1)"/>
      <w:numFmt w:val="decimal"/>
      <w:start w:val="2"/>
    </w:lvl>
    <w:lvl w:ilvl="1">
      <w:lvlJc w:val="left"/>
      <w:lvlText w:val="%2"/>
      <w:numFmt w:val="lowerLetter"/>
      <w:start w:val="1"/>
    </w:lvl>
  </w:abstractNum>
  <w:abstractNum w:abstractNumId="305">
    <w:nsid w:val="450B7FB6"/>
    <w:multiLevelType w:val="hybridMultilevel"/>
    <w:lvl w:ilvl="0">
      <w:lvlJc w:val="left"/>
      <w:lvlText w:val="(%1)"/>
      <w:numFmt w:val="decimal"/>
      <w:start w:val="9"/>
    </w:lvl>
    <w:lvl w:ilvl="1">
      <w:lvlJc w:val="left"/>
      <w:lvlText w:val="%2"/>
      <w:numFmt w:val="lowerLetter"/>
      <w:start w:val="1"/>
    </w:lvl>
  </w:abstractNum>
  <w:abstractNum w:abstractNumId="306">
    <w:nsid w:val="340BF64D"/>
    <w:multiLevelType w:val="hybridMultilevel"/>
    <w:lvl w:ilvl="0">
      <w:lvlJc w:val="left"/>
      <w:lvlText w:val="(%1)"/>
      <w:numFmt w:val="decimal"/>
      <w:start w:val="23"/>
    </w:lvl>
    <w:lvl w:ilvl="1">
      <w:lvlJc w:val="left"/>
      <w:lvlText w:val="%2"/>
      <w:numFmt w:val="lowerLetter"/>
      <w:start w:val="1"/>
    </w:lvl>
  </w:abstractNum>
  <w:abstractNum w:abstractNumId="307">
    <w:nsid w:val="69454021"/>
    <w:multiLevelType w:val="hybridMultilevel"/>
    <w:lvl w:ilvl="0">
      <w:lvlJc w:val="left"/>
      <w:lvlText w:val="(%1)"/>
      <w:numFmt w:val="decimal"/>
      <w:start w:val="32"/>
    </w:lvl>
    <w:lvl w:ilvl="1">
      <w:lvlJc w:val="left"/>
      <w:lvlText w:val="(%2)"/>
      <w:numFmt w:val="lowerLetter"/>
      <w:start w:val="40"/>
    </w:lvl>
  </w:abstractNum>
  <w:abstractNum w:abstractNumId="308">
    <w:nsid w:val="49F15C6B"/>
    <w:multiLevelType w:val="hybridMultilevel"/>
    <w:lvl w:ilvl="0">
      <w:lvlJc w:val="left"/>
      <w:lvlText w:val="(%1)"/>
      <w:numFmt w:val="lowerLetter"/>
      <w:start w:val="41"/>
    </w:lvl>
  </w:abstractNum>
  <w:abstractNum w:abstractNumId="309">
    <w:nsid w:val="75F56228"/>
    <w:multiLevelType w:val="hybridMultilevel"/>
    <w:lvl w:ilvl="0">
      <w:lvlJc w:val="left"/>
      <w:lvlText w:val="(%1)"/>
      <w:numFmt w:val="lowerLetter"/>
      <w:start w:val="53"/>
    </w:lvl>
  </w:abstractNum>
  <w:abstractNum w:abstractNumId="310">
    <w:nsid w:val="1C618271"/>
    <w:multiLevelType w:val="hybridMultilevel"/>
    <w:lvl w:ilvl="0">
      <w:lvlJc w:val="left"/>
      <w:lvlText w:val="☐"/>
      <w:numFmt w:val="bullet"/>
      <w:start w:val="1"/>
    </w:lvl>
  </w:abstractNum>
  <w:abstractNum w:abstractNumId="311">
    <w:nsid w:val="6505F02E"/>
    <w:multiLevelType w:val="hybridMultilevel"/>
    <w:lvl w:ilvl="0">
      <w:lvlJc w:val="left"/>
      <w:lvlText w:val="1"/>
      <w:numFmt w:val="bullet"/>
      <w:start w:val="1"/>
    </w:lvl>
  </w:abstractNum>
  <w:abstractNum w:abstractNumId="312">
    <w:nsid w:val="2FE5D025"/>
    <w:multiLevelType w:val="hybridMultilevel"/>
    <w:lvl w:ilvl="0">
      <w:lvlJc w:val="left"/>
      <w:lvlText w:val="%1."/>
      <w:numFmt w:val="decimal"/>
      <w:start w:val="1"/>
    </w:lvl>
    <w:lvl w:ilvl="1">
      <w:lvlJc w:val="left"/>
      <w:lvlText w:val="(%2)"/>
      <w:numFmt w:val="lowerLetter"/>
      <w:start w:val="1"/>
    </w:lvl>
  </w:abstractNum>
  <w:abstractNum w:abstractNumId="313">
    <w:nsid w:val="30E1B1CF"/>
    <w:multiLevelType w:val="hybridMultilevel"/>
    <w:lvl w:ilvl="0">
      <w:lvlJc w:val="left"/>
      <w:lvlText w:val="%1"/>
      <w:numFmt w:val="decimal"/>
      <w:start w:val="1"/>
    </w:lvl>
    <w:lvl w:ilvl="1">
      <w:lvlJc w:val="left"/>
      <w:lvlText w:val="(%2)"/>
      <w:numFmt w:val="lowerLetter"/>
      <w:start w:val="2"/>
    </w:lvl>
  </w:abstractNum>
  <w:abstractNum w:abstractNumId="314">
    <w:nsid w:val="C7A9237"/>
    <w:multiLevelType w:val="hybridMultilevel"/>
    <w:lvl w:ilvl="0">
      <w:lvlJc w:val="left"/>
      <w:lvlText w:val="%1."/>
      <w:numFmt w:val="decimal"/>
      <w:start w:val="6"/>
    </w:lvl>
    <w:lvl w:ilvl="1">
      <w:lvlJc w:val="left"/>
      <w:lvlText w:val="(%2)"/>
      <w:numFmt w:val="lowerLetter"/>
      <w:start w:val="1"/>
    </w:lvl>
  </w:abstractNum>
  <w:abstractNum w:abstractNumId="315">
    <w:nsid w:val="676B3580"/>
    <w:multiLevelType w:val="hybridMultilevel"/>
    <w:lvl w:ilvl="0">
      <w:lvlJc w:val="left"/>
      <w:lvlText w:val="(%1)"/>
      <w:numFmt w:val="lowerLetter"/>
      <w:start w:val="4"/>
    </w:lvl>
  </w:abstractNum>
  <w:abstractNum w:abstractNumId="316">
    <w:nsid w:val="3193C8F9"/>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317">
    <w:nsid w:val="5FA6C6DC"/>
    <w:multiLevelType w:val="hybridMultilevel"/>
    <w:lvl w:ilvl="0">
      <w:lvlJc w:val="left"/>
      <w:lvlText w:val="(%1)"/>
      <w:numFmt w:val="decimal"/>
      <w:start w:val="15"/>
    </w:lvl>
    <w:lvl w:ilvl="1">
      <w:lvlJc w:val="left"/>
      <w:lvlText w:val="%2"/>
      <w:numFmt w:val="decimal"/>
      <w:start w:val="1"/>
    </w:lvl>
    <w:lvl w:ilvl="2">
      <w:lvlJc w:val="left"/>
      <w:lvlText w:val="(%3)"/>
      <w:numFmt w:val="lowerLetter"/>
      <w:start w:val="4"/>
    </w:lvl>
  </w:abstractNum>
  <w:abstractNum w:abstractNumId="318">
    <w:nsid w:val="77933F62"/>
    <w:multiLevelType w:val="hybridMultilevel"/>
    <w:lvl w:ilvl="0">
      <w:lvlJc w:val="left"/>
      <w:lvlText w:val="%1."/>
      <w:numFmt w:val="decimal"/>
      <w:start w:val="10"/>
    </w:lvl>
    <w:lvl w:ilvl="1">
      <w:lvlJc w:val="left"/>
      <w:lvlText w:val="(%2)"/>
      <w:numFmt w:val="lowerLetter"/>
      <w:start w:val="1"/>
    </w:lvl>
  </w:abstractNum>
  <w:abstractNum w:abstractNumId="319">
    <w:nsid w:val="6CB4EE9C"/>
    <w:multiLevelType w:val="hybridMultilevel"/>
    <w:lvl w:ilvl="0">
      <w:lvlJc w:val="left"/>
      <w:lvlText w:val="%1"/>
      <w:numFmt w:val="decimal"/>
      <w:start w:val="1"/>
    </w:lvl>
    <w:lvl w:ilvl="1">
      <w:lvlJc w:val="left"/>
      <w:lvlText w:val="(%2)"/>
      <w:numFmt w:val="lowerLetter"/>
      <w:start w:val="2"/>
    </w:lvl>
  </w:abstractNum>
  <w:abstractNum w:abstractNumId="320">
    <w:nsid w:val="6A6D56D7"/>
    <w:multiLevelType w:val="hybridMultilevel"/>
    <w:lvl w:ilvl="0">
      <w:lvlJc w:val="left"/>
      <w:lvlText w:val="%1."/>
      <w:numFmt w:val="decimal"/>
      <w:start w:val="12"/>
    </w:lvl>
    <w:lvl w:ilvl="1">
      <w:lvlJc w:val="left"/>
      <w:lvlText w:val="(%2)"/>
      <w:numFmt w:val="lowerLetter"/>
      <w:start w:val="1"/>
    </w:lvl>
  </w:abstractNum>
  <w:abstractNum w:abstractNumId="321">
    <w:nsid w:val="5B727F19"/>
    <w:multiLevelType w:val="hybridMultilevel"/>
    <w:lvl w:ilvl="0">
      <w:lvlJc w:val="left"/>
      <w:lvlText w:val="%1"/>
      <w:numFmt w:val="decimal"/>
      <w:start w:val="1"/>
    </w:lvl>
    <w:lvl w:ilvl="1">
      <w:lvlJc w:val="left"/>
      <w:lvlText w:val="(%2)"/>
      <w:numFmt w:val="lowerLetter"/>
      <w:start w:val="3"/>
    </w:lvl>
  </w:abstractNum>
  <w:abstractNum w:abstractNumId="322">
    <w:nsid w:val="514E5CB0"/>
    <w:multiLevelType w:val="hybridMultilevel"/>
    <w:lvl w:ilvl="0">
      <w:lvlJc w:val="left"/>
      <w:lvlText w:val="%1."/>
      <w:numFmt w:val="decimal"/>
      <w:start w:val="13"/>
    </w:lvl>
    <w:lvl w:ilvl="1">
      <w:lvlJc w:val="left"/>
      <w:lvlText w:val="%2"/>
      <w:numFmt w:val="lowerLetter"/>
      <w:start w:val="1"/>
    </w:lvl>
  </w:abstractNum>
  <w:abstractNum w:abstractNumId="323">
    <w:nsid w:val="4210D41E"/>
    <w:multiLevelType w:val="hybridMultilevel"/>
    <w:lvl w:ilvl="0">
      <w:lvlJc w:val="left"/>
      <w:lvlText w:val="%1"/>
      <w:numFmt w:val="decimal"/>
      <w:start w:val="1"/>
    </w:lvl>
    <w:lvl w:ilvl="1">
      <w:lvlJc w:val="left"/>
      <w:lvlText w:val="%2."/>
      <w:numFmt w:val="decimal"/>
      <w:start w:val="16"/>
    </w:lvl>
  </w:abstractNum>
  <w:abstractNum w:abstractNumId="324">
    <w:nsid w:val="4FF4CC6D"/>
    <w:multiLevelType w:val="hybridMultilevel"/>
    <w:lvl w:ilvl="0">
      <w:lvlJc w:val="left"/>
      <w:lvlText w:val="(%1)"/>
      <w:numFmt w:val="decimal"/>
      <w:start w:val="1"/>
    </w:lvl>
    <w:lvl w:ilvl="1">
      <w:lvlJc w:val="left"/>
      <w:lvlText w:val="%2."/>
      <w:numFmt w:val="decimal"/>
      <w:start w:val="19"/>
    </w:lvl>
  </w:abstractNum>
  <w:abstractNum w:abstractNumId="325">
    <w:nsid w:val="404EAF4A"/>
    <w:multiLevelType w:val="hybridMultilevel"/>
    <w:lvl w:ilvl="0">
      <w:lvlJc w:val="left"/>
      <w:lvlText w:val="%1."/>
      <w:numFmt w:val="decimal"/>
      <w:start w:val="22"/>
    </w:lvl>
    <w:lvl w:ilvl="1">
      <w:lvlJc w:val="left"/>
      <w:lvlText w:val="(%2)"/>
      <w:numFmt w:val="lowerLetter"/>
      <w:start w:val="1"/>
    </w:lvl>
  </w:abstractNum>
  <w:abstractNum w:abstractNumId="326">
    <w:nsid w:val="4A16874F"/>
    <w:multiLevelType w:val="hybridMultilevel"/>
    <w:lvl w:ilvl="0">
      <w:lvlJc w:val="left"/>
      <w:lvlText w:val="1"/>
      <w:numFmt w:val="bullet"/>
      <w:start w:val="1"/>
    </w:lvl>
  </w:abstractNum>
  <w:abstractNum w:abstractNumId="327">
    <w:nsid w:val="55FEE0D1"/>
    <w:multiLevelType w:val="hybridMultilevel"/>
    <w:lvl w:ilvl="0">
      <w:lvlJc w:val="left"/>
      <w:lvlText w:val="2"/>
      <w:numFmt w:val="bullet"/>
      <w:start w:val="1"/>
    </w:lvl>
  </w:abstractNum>
  <w:abstractNum w:abstractNumId="328">
    <w:nsid w:val="3C5E07C"/>
    <w:multiLevelType w:val="hybridMultilevel"/>
    <w:lvl w:ilvl="0">
      <w:lvlJc w:val="left"/>
      <w:lvlText w:val="%1."/>
      <w:numFmt w:val="decimal"/>
      <w:start w:val="1"/>
    </w:lvl>
  </w:abstractNum>
  <w:abstractNum w:abstractNumId="329">
    <w:nsid w:val="60C2D273"/>
    <w:multiLevelType w:val="hybridMultilevel"/>
    <w:lvl w:ilvl="0">
      <w:lvlJc w:val="left"/>
      <w:lvlText w:val="%1."/>
      <w:numFmt w:val="decimal"/>
      <w:start w:val="3"/>
    </w:lvl>
  </w:abstractNum>
  <w:abstractNum w:abstractNumId="330">
    <w:nsid w:val="4CC32F1F"/>
    <w:multiLevelType w:val="hybridMultilevel"/>
    <w:lvl w:ilvl="0">
      <w:lvlJc w:val="left"/>
      <w:lvlText w:val="%1."/>
      <w:numFmt w:val="decimal"/>
      <w:start w:val="4"/>
    </w:lvl>
    <w:lvl w:ilvl="1">
      <w:lvlJc w:val="left"/>
      <w:lvlText w:val="(%2)"/>
      <w:numFmt w:val="lowerLetter"/>
      <w:start w:val="1"/>
    </w:lvl>
  </w:abstractNum>
  <w:abstractNum w:abstractNumId="331">
    <w:nsid w:val="11CAC74A"/>
    <w:multiLevelType w:val="hybridMultilevel"/>
    <w:lvl w:ilvl="0">
      <w:lvlJc w:val="left"/>
      <w:lvlText w:val="%1"/>
      <w:numFmt w:val="upperLetter"/>
      <w:start w:val="1"/>
    </w:lvl>
    <w:lvl w:ilvl="1">
      <w:lvlJc w:val="left"/>
      <w:lvlText w:val="(%2)"/>
      <w:numFmt w:val="lowerRoman"/>
      <w:start w:val="1"/>
    </w:lvl>
  </w:abstractNum>
  <w:abstractNum w:abstractNumId="332">
    <w:nsid w:val="126CADE9"/>
    <w:multiLevelType w:val="hybridMultilevel"/>
    <w:lvl w:ilvl="0">
      <w:lvlJc w:val="left"/>
      <w:lvlText w:val="(%1)"/>
      <w:numFmt w:val="upperLetter"/>
      <w:start w:val="3"/>
    </w:lvl>
    <w:lvl w:ilvl="1">
      <w:lvlJc w:val="left"/>
      <w:lvlText w:val="%2"/>
      <w:numFmt w:val="lowerRoman"/>
      <w:start w:val="1"/>
    </w:lvl>
  </w:abstractNum>
  <w:abstractNum w:abstractNumId="333">
    <w:nsid w:val="19132E7B"/>
    <w:multiLevelType w:val="hybridMultilevel"/>
    <w:lvl w:ilvl="0">
      <w:lvlJc w:val="left"/>
      <w:lvlText w:val="%1"/>
      <w:numFmt w:val="decimal"/>
      <w:start w:val="1"/>
    </w:lvl>
    <w:lvl w:ilvl="1">
      <w:lvlJc w:val="left"/>
      <w:lvlText w:val="(%2)"/>
      <w:numFmt w:val="lowerLetter"/>
      <w:start w:val="3"/>
    </w:lvl>
  </w:abstractNum>
  <w:abstractNum w:abstractNumId="334">
    <w:nsid w:val="63822DC0"/>
    <w:multiLevelType w:val="hybridMultilevel"/>
    <w:lvl w:ilvl="0">
      <w:lvlJc w:val="left"/>
      <w:lvlText w:val="%1."/>
      <w:numFmt w:val="decimal"/>
      <w:start w:val="7"/>
    </w:lvl>
    <w:lvl w:ilvl="1">
      <w:lvlJc w:val="left"/>
      <w:lvlText w:val="(%2)"/>
      <w:numFmt w:val="lowerLetter"/>
      <w:start w:val="1"/>
    </w:lvl>
  </w:abstractNum>
  <w:abstractNum w:abstractNumId="335">
    <w:nsid w:val="6C11685A"/>
    <w:multiLevelType w:val="hybridMultilevel"/>
    <w:lvl w:ilvl="0">
      <w:lvlJc w:val="left"/>
      <w:lvlText w:val="(%1)"/>
      <w:numFmt w:val="lowerLetter"/>
      <w:start w:val="2"/>
    </w:lvl>
  </w:abstractNum>
  <w:abstractNum w:abstractNumId="336">
    <w:nsid w:val="5E1EAE31"/>
    <w:multiLevelType w:val="hybridMultilevel"/>
    <w:lvl w:ilvl="0">
      <w:lvlJc w:val="left"/>
      <w:lvlText w:val="%1."/>
      <w:numFmt w:val="decimal"/>
      <w:start w:val="11"/>
    </w:lvl>
    <w:lvl w:ilvl="1">
      <w:lvlJc w:val="left"/>
      <w:lvlText w:val="(%2)"/>
      <w:numFmt w:val="lowerLetter"/>
      <w:start w:val="1"/>
    </w:lvl>
  </w:abstractNum>
  <w:abstractNum w:abstractNumId="337">
    <w:nsid w:val="178E240D"/>
    <w:multiLevelType w:val="hybridMultilevel"/>
    <w:lvl w:ilvl="0">
      <w:lvlJc w:val="left"/>
      <w:lvlText w:val="%1"/>
      <w:numFmt w:val="decimal"/>
      <w:start w:val="1"/>
    </w:lvl>
    <w:lvl w:ilvl="1">
      <w:lvlJc w:val="left"/>
      <w:lvlText w:val="(%2)"/>
      <w:numFmt w:val="lowerLetter"/>
      <w:start w:val="4"/>
    </w:lvl>
  </w:abstractNum>
  <w:abstractNum w:abstractNumId="338">
    <w:nsid w:val="5556A87B"/>
    <w:multiLevelType w:val="hybridMultilevel"/>
    <w:lvl w:ilvl="0">
      <w:lvlJc w:val="left"/>
      <w:lvlText w:val="%1."/>
      <w:numFmt w:val="decimal"/>
      <w:start w:val="13"/>
    </w:lvl>
    <w:lvl w:ilvl="1">
      <w:lvlJc w:val="left"/>
      <w:lvlText w:val="%2"/>
      <w:numFmt w:val="lowerLetter"/>
      <w:start w:val="1"/>
    </w:lvl>
  </w:abstractNum>
  <w:abstractNum w:abstractNumId="339">
    <w:nsid w:val="28100A9C"/>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abstractNum>
  <w:abstractNum w:abstractNumId="340">
    <w:nsid w:val="D838636"/>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341">
    <w:nsid w:val="71B82AED"/>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42">
    <w:nsid w:val="D15FACA"/>
    <w:multiLevelType w:val="hybridMultilevel"/>
    <w:lvl w:ilvl="0">
      <w:lvlJc w:val="left"/>
      <w:lvlText w:val="%1."/>
      <w:numFmt w:val="decimal"/>
      <w:start w:val="24"/>
    </w:lvl>
    <w:lvl w:ilvl="1">
      <w:lvlJc w:val="left"/>
      <w:lvlText w:val="%2"/>
      <w:numFmt w:val="lowerLetter"/>
      <w:start w:val="1"/>
    </w:lvl>
    <w:lvl w:ilvl="2">
      <w:lvlJc w:val="left"/>
      <w:lvlText w:val="*"/>
      <w:numFmt w:val="bullet"/>
      <w:start w:val="1"/>
    </w:lvl>
  </w:abstractNum>
  <w:abstractNum w:abstractNumId="343">
    <w:nsid w:val="3D6956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4">
    <w:nsid w:val="2299DC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45">
    <w:nsid w:val="19908D0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46">
    <w:nsid w:val="24D48BD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47">
    <w:nsid w:val="542DA5B5"/>
    <w:multiLevelType w:val="hybridMultilevel"/>
    <w:lvl w:ilvl="0">
      <w:lvlJc w:val="left"/>
      <w:lvlText w:val="%1"/>
      <w:numFmt w:val="decimal"/>
      <w:start w:val="1"/>
    </w:lvl>
    <w:lvl w:ilvl="1">
      <w:lvlJc w:val="left"/>
      <w:lvlText w:val="(%2)"/>
      <w:numFmt w:val="lowerLetter"/>
      <w:start w:val="3"/>
    </w:lvl>
  </w:abstractNum>
  <w:abstractNum w:abstractNumId="348">
    <w:nsid w:val="793753DE"/>
    <w:multiLevelType w:val="hybridMultilevel"/>
    <w:lvl w:ilvl="0">
      <w:lvlJc w:val="left"/>
      <w:lvlText w:val="%1."/>
      <w:numFmt w:val="decimal"/>
      <w:start w:val="4"/>
    </w:lvl>
    <w:lvl w:ilvl="1">
      <w:lvlJc w:val="left"/>
      <w:lvlText w:val="(%2)"/>
      <w:numFmt w:val="lowerLetter"/>
      <w:start w:val="1"/>
    </w:lvl>
  </w:abstractNum>
  <w:abstractNum w:abstractNumId="349">
    <w:nsid w:val="1C67CB3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50">
    <w:nsid w:val="40E2945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51">
    <w:nsid w:val="63A4AAB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52">
    <w:nsid w:val="77DA4A5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53">
    <w:nsid w:val="1230F102"/>
    <w:multiLevelType w:val="hybridMultilevel"/>
    <w:lvl w:ilvl="0">
      <w:lvlJc w:val="left"/>
      <w:lvlText w:val="%1"/>
      <w:numFmt w:val="decimal"/>
      <w:start w:val="1"/>
    </w:lvl>
    <w:lvl w:ilvl="1">
      <w:lvlJc w:val="left"/>
      <w:lvlText w:val="(%2)"/>
      <w:numFmt w:val="lowerLetter"/>
      <w:start w:val="2"/>
    </w:lvl>
  </w:abstractNum>
  <w:abstractNum w:abstractNumId="354">
    <w:nsid w:val="25B57ED4"/>
    <w:multiLevelType w:val="hybridMultilevel"/>
    <w:lvl w:ilvl="0">
      <w:lvlJc w:val="left"/>
      <w:lvlText w:val="%1."/>
      <w:numFmt w:val="decimal"/>
      <w:start w:val="8"/>
    </w:lvl>
    <w:lvl w:ilvl="1">
      <w:lvlJc w:val="left"/>
      <w:lvlText w:val="(%2)"/>
      <w:numFmt w:val="lowerLetter"/>
      <w:start w:val="1"/>
    </w:lvl>
  </w:abstractNum>
  <w:abstractNum w:abstractNumId="355">
    <w:nsid w:val="47CF16C4"/>
    <w:multiLevelType w:val="hybridMultilevel"/>
    <w:lvl w:ilvl="0">
      <w:lvlJc w:val="left"/>
      <w:lvlText w:val="%1."/>
      <w:numFmt w:val="decimal"/>
      <w:start w:val="9"/>
    </w:lvl>
  </w:abstractNum>
  <w:abstractNum w:abstractNumId="356">
    <w:nsid w:val="527FA04C"/>
    <w:multiLevelType w:val="hybridMultilevel"/>
    <w:lvl w:ilvl="0">
      <w:lvlJc w:val="left"/>
      <w:lvlText w:val="%1."/>
      <w:numFmt w:val="decimal"/>
      <w:start w:val="10"/>
    </w:lvl>
    <w:lvl w:ilvl="1">
      <w:lvlJc w:val="left"/>
      <w:lvlText w:val="(%2)"/>
      <w:numFmt w:val="lowerLetter"/>
      <w:start w:val="1"/>
    </w:lvl>
  </w:abstractNum>
  <w:abstractNum w:abstractNumId="357">
    <w:nsid w:val="6FCC0624"/>
    <w:multiLevelType w:val="hybridMultilevel"/>
    <w:lvl w:ilvl="0">
      <w:lvlJc w:val="left"/>
      <w:lvlText w:val="%1"/>
      <w:numFmt w:val="decimal"/>
      <w:start w:val="1"/>
    </w:lvl>
    <w:lvl w:ilvl="1">
      <w:lvlJc w:val="left"/>
      <w:lvlText w:val="(%2)"/>
      <w:numFmt w:val="lowerLetter"/>
      <w:start w:val="2"/>
    </w:lvl>
  </w:abstractNum>
  <w:abstractNum w:abstractNumId="358">
    <w:nsid w:val="1DCDF795"/>
    <w:multiLevelType w:val="hybridMultilevel"/>
    <w:lvl w:ilvl="0">
      <w:lvlJc w:val="left"/>
      <w:lvlText w:val="%1."/>
      <w:numFmt w:val="decimal"/>
      <w:start w:val="12"/>
    </w:lvl>
    <w:lvl w:ilvl="1">
      <w:lvlJc w:val="left"/>
      <w:lvlText w:val="(%2)"/>
      <w:numFmt w:val="lowerLetter"/>
      <w:start w:val="1"/>
    </w:lvl>
  </w:abstractNum>
  <w:abstractNum w:abstractNumId="359">
    <w:nsid w:val="564580C8"/>
    <w:multiLevelType w:val="hybridMultilevel"/>
    <w:lvl w:ilvl="0">
      <w:lvlJc w:val="left"/>
      <w:lvlText w:val="%1."/>
      <w:numFmt w:val="decimal"/>
      <w:start w:val="14"/>
    </w:lvl>
    <w:lvl w:ilvl="1">
      <w:lvlJc w:val="left"/>
      <w:lvlText w:val="(%2)"/>
      <w:numFmt w:val="lowerLetter"/>
      <w:start w:val="1"/>
    </w:lvl>
  </w:abstractNum>
  <w:abstractNum w:abstractNumId="360">
    <w:nsid w:val="508ED897"/>
    <w:multiLevelType w:val="hybridMultilevel"/>
    <w:lvl w:ilvl="0">
      <w:lvlJc w:val="left"/>
      <w:lvlText w:val="(%1)"/>
      <w:numFmt w:val="lowerLetter"/>
      <w:start w:val="2"/>
    </w:lvl>
  </w:abstractNum>
  <w:abstractNum w:abstractNumId="361">
    <w:nsid w:val="6A9126B5"/>
    <w:multiLevelType w:val="hybridMultilevel"/>
    <w:lvl w:ilvl="0">
      <w:lvlJc w:val="left"/>
      <w:lvlText w:val="%1."/>
      <w:numFmt w:val="decimal"/>
      <w:start w:val="15"/>
    </w:lvl>
  </w:abstractNum>
  <w:abstractNum w:abstractNumId="362">
    <w:nsid w:val="68104812"/>
    <w:multiLevelType w:val="hybridMultilevel"/>
    <w:lvl w:ilvl="0">
      <w:lvlJc w:val="left"/>
      <w:lvlText w:val="(%1)"/>
      <w:numFmt w:val="lowerLetter"/>
      <w:start w:val="1"/>
    </w:lvl>
  </w:abstractNum>
  <w:abstractNum w:abstractNumId="363">
    <w:nsid w:val="62FB8680"/>
    <w:multiLevelType w:val="hybridMultilevel"/>
    <w:lvl w:ilvl="0">
      <w:lvlJc w:val="left"/>
      <w:lvlText w:val="(%1)"/>
      <w:numFmt w:val="lowerLetter"/>
      <w:start w:val="6"/>
    </w:lvl>
    <w:lvl w:ilvl="1">
      <w:lvlJc w:val="left"/>
      <w:lvlText w:val="(%2)"/>
      <w:numFmt w:val="lowerRoman"/>
      <w:start w:val="1"/>
    </w:lvl>
  </w:abstractNum>
  <w:abstractNum w:abstractNumId="364">
    <w:nsid w:val="3A45530"/>
    <w:multiLevelType w:val="hybridMultilevel"/>
    <w:lvl w:ilvl="0">
      <w:lvlJc w:val="left"/>
      <w:lvlText w:val="(%1)"/>
      <w:numFmt w:val="lowerLetter"/>
      <w:start w:val="15"/>
    </w:lvl>
    <w:lvl w:ilvl="1">
      <w:lvlJc w:val="left"/>
      <w:lvlText w:val="(%2)"/>
      <w:numFmt w:val="lowerRoman"/>
      <w:start w:val="1"/>
    </w:lvl>
  </w:abstractNum>
  <w:abstractNum w:abstractNumId="365">
    <w:nsid w:val="4B9275D2"/>
    <w:multiLevelType w:val="hybridMultilevel"/>
    <w:lvl w:ilvl="0">
      <w:lvlJc w:val="left"/>
      <w:lvlText w:val="(%1)"/>
      <w:numFmt w:val="lowerLetter"/>
      <w:start w:val="24"/>
    </w:lvl>
  </w:abstractNum>
  <w:abstractNum w:abstractNumId="366">
    <w:nsid w:val="4F0CEEDB"/>
    <w:multiLevelType w:val="hybridMultilevel"/>
    <w:lvl w:ilvl="0">
      <w:lvlJc w:val="left"/>
      <w:lvlText w:val="(%1)"/>
      <w:numFmt w:val="lowerLetter"/>
      <w:start w:val="27"/>
    </w:lvl>
  </w:abstractNum>
  <w:abstractNum w:abstractNumId="367">
    <w:nsid w:val="61C30361"/>
    <w:multiLevelType w:val="hybridMultilevel"/>
    <w:lvl w:ilvl="0">
      <w:lvlJc w:val="left"/>
      <w:lvlText w:val="[*]"/>
      <w:numFmt w:val="bullet"/>
      <w:start w:val="1"/>
    </w:lvl>
  </w:abstractNum>
  <w:abstractNum w:abstractNumId="368">
    <w:nsid w:val="632099E0"/>
    <w:multiLevelType w:val="hybridMultilevel"/>
    <w:lvl w:ilvl="0">
      <w:lvlJc w:val="left"/>
      <w:lvlText w:val="%1."/>
      <w:numFmt w:val="decimal"/>
      <w:start w:val="1"/>
    </w:lvl>
  </w:abstractNum>
  <w:abstractNum w:abstractNumId="369">
    <w:nsid w:val="24639756"/>
    <w:multiLevelType w:val="hybridMultilevel"/>
    <w:lvl w:ilvl="0">
      <w:lvlJc w:val="left"/>
      <w:lvlText w:val="%1."/>
      <w:numFmt w:val="decimal"/>
      <w:start w:val="2"/>
    </w:lvl>
  </w:abstractNum>
  <w:abstractNum w:abstractNumId="370">
    <w:nsid w:val="9D30DFD"/>
    <w:multiLevelType w:val="hybridMultilevel"/>
    <w:lvl w:ilvl="0">
      <w:lvlJc w:val="left"/>
      <w:lvlText w:val="(%1)"/>
      <w:numFmt w:val="upperLetter"/>
      <w:start w:val="1"/>
    </w:lvl>
  </w:abstractNum>
  <w:abstractNum w:abstractNumId="371">
    <w:nsid w:val="70A42016"/>
    <w:multiLevelType w:val="hybridMultilevel"/>
    <w:lvl w:ilvl="0">
      <w:lvlJc w:val="left"/>
      <w:lvlText w:val="(%1)"/>
      <w:numFmt w:val="upperLetter"/>
      <w:start w:val="1"/>
    </w:lvl>
  </w:abstractNum>
  <w:abstractNum w:abstractNumId="372">
    <w:nsid w:val="161BC243"/>
    <w:multiLevelType w:val="hybridMultilevel"/>
    <w:lvl w:ilvl="0">
      <w:lvlJc w:val="left"/>
      <w:lvlText w:val="[*]"/>
      <w:numFmt w:val="bullet"/>
      <w:start w:val="1"/>
    </w:lvl>
  </w:abstractNum>
  <w:abstractNum w:abstractNumId="373">
    <w:nsid w:val="16E908C8"/>
    <w:multiLevelType w:val="hybridMultilevel"/>
    <w:lvl w:ilvl="0">
      <w:lvlJc w:val="left"/>
      <w:lvlText w:val="(%1)"/>
      <w:numFmt w:val="upperLetter"/>
      <w:start w:val="1"/>
    </w:lvl>
  </w:abstractNum>
  <w:abstractNum w:abstractNumId="374">
    <w:nsid w:val="2E0D7671"/>
    <w:multiLevelType w:val="hybridMultilevel"/>
    <w:lvl w:ilvl="0">
      <w:lvlJc w:val="left"/>
      <w:lvlText w:val="[*]"/>
      <w:numFmt w:val="bullet"/>
      <w:start w:val="1"/>
    </w:lvl>
    <w:lvl w:ilvl="1">
      <w:lvlJc w:val="left"/>
      <w:lvlText w:val="(%2)"/>
      <w:numFmt w:val="upperLetter"/>
      <w:start w:val="1"/>
    </w:lvl>
  </w:abstractNum>
  <w:abstractNum w:abstractNumId="375">
    <w:nsid w:val="38B59EFF"/>
    <w:multiLevelType w:val="hybridMultilevel"/>
    <w:lvl w:ilvl="0">
      <w:lvlJc w:val="left"/>
      <w:lvlText w:val="(%1)"/>
      <w:numFmt w:val="upperLetter"/>
      <w:start w:val="5"/>
    </w:lvl>
  </w:abstractNum>
  <w:abstractNum w:abstractNumId="376">
    <w:nsid w:val="307995CA"/>
    <w:multiLevelType w:val="hybridMultilevel"/>
    <w:lvl w:ilvl="0">
      <w:lvlJc w:val="left"/>
      <w:lvlText w:val="(%1)"/>
      <w:numFmt w:val="upperLetter"/>
      <w:start w:val="1"/>
    </w:lvl>
  </w:abstractNum>
  <w:abstractNum w:abstractNumId="377">
    <w:nsid w:val="52E2024D"/>
    <w:multiLevelType w:val="hybridMultilevel"/>
    <w:lvl w:ilvl="0">
      <w:lvlJc w:val="left"/>
      <w:lvlText w:val="[*]"/>
      <w:numFmt w:val="bullet"/>
      <w:start w:val="1"/>
    </w:lvl>
  </w:abstractNum>
  <w:abstractNum w:abstractNumId="378">
    <w:nsid w:val="CE344B5"/>
    <w:multiLevelType w:val="hybridMultilevel"/>
    <w:lvl w:ilvl="0">
      <w:lvlJc w:val="left"/>
      <w:lvlText w:val="[*]"/>
      <w:numFmt w:val="bullet"/>
      <w:start w:val="1"/>
    </w:lvl>
  </w:abstractNum>
  <w:abstractNum w:abstractNumId="379">
    <w:nsid w:val="29B0E9A8"/>
    <w:multiLevelType w:val="hybridMultilevel"/>
    <w:lvl w:ilvl="0">
      <w:lvlJc w:val="left"/>
      <w:lvlText w:val="%1."/>
      <w:numFmt w:val="decimal"/>
      <w:start w:val="3"/>
    </w:lvl>
  </w:abstractNum>
  <w:abstractNum w:abstractNumId="380">
    <w:nsid w:val="6F49CD8A"/>
    <w:multiLevelType w:val="hybridMultilevel"/>
    <w:lvl w:ilvl="0">
      <w:lvlJc w:val="left"/>
      <w:lvlText w:val="(%1)"/>
      <w:numFmt w:val="upperLetter"/>
      <w:start w:val="1"/>
    </w:lvl>
  </w:abstractNum>
  <w:abstractNum w:abstractNumId="381">
    <w:nsid w:val="4DC5D907"/>
    <w:multiLevelType w:val="hybridMultilevel"/>
    <w:lvl w:ilvl="0">
      <w:lvlJc w:val="left"/>
      <w:lvlText w:val="(%1)"/>
      <w:numFmt w:val="upperLetter"/>
      <w:start w:val="1"/>
    </w:lvl>
  </w:abstractNum>
  <w:abstractNum w:abstractNumId="382">
    <w:nsid w:val="D55945E"/>
    <w:multiLevelType w:val="hybridMultilevel"/>
    <w:lvl w:ilvl="0">
      <w:lvlJc w:val="left"/>
      <w:lvlText w:val="[*]"/>
      <w:numFmt w:val="bullet"/>
      <w:start w:val="1"/>
    </w:lvl>
  </w:abstractNum>
  <w:abstractNum w:abstractNumId="383">
    <w:nsid w:val="672417E1"/>
    <w:multiLevelType w:val="hybridMultilevel"/>
    <w:lvl w:ilvl="0">
      <w:lvlJc w:val="left"/>
      <w:lvlText w:val="(%1)"/>
      <w:numFmt w:val="upperLetter"/>
      <w:start w:val="1"/>
    </w:lvl>
  </w:abstractNum>
  <w:abstractNum w:abstractNumId="384">
    <w:nsid w:val="5FF6CA09"/>
    <w:multiLevelType w:val="hybridMultilevel"/>
    <w:lvl w:ilvl="0">
      <w:lvlJc w:val="left"/>
      <w:lvlText w:val="%1."/>
      <w:numFmt w:val="decimal"/>
      <w:start w:val="4"/>
    </w:lvl>
  </w:abstractNum>
  <w:abstractNum w:abstractNumId="385">
    <w:nsid w:val="330B1333"/>
    <w:multiLevelType w:val="hybridMultilevel"/>
    <w:lvl w:ilvl="0">
      <w:lvlJc w:val="left"/>
      <w:lvlText w:val="[*]"/>
      <w:numFmt w:val="bullet"/>
      <w:start w:val="1"/>
    </w:lvl>
  </w:abstractNum>
  <w:abstractNum w:abstractNumId="386">
    <w:nsid w:val="2EF32EA6"/>
    <w:multiLevelType w:val="hybridMultilevel"/>
    <w:lvl w:ilvl="0">
      <w:lvlJc w:val="left"/>
      <w:lvlText w:val="(%1)"/>
      <w:numFmt w:val="upperLetter"/>
      <w:start w:val="1"/>
    </w:lvl>
  </w:abstractNum>
  <w:abstractNum w:abstractNumId="387">
    <w:nsid w:val="32766A55"/>
    <w:multiLevelType w:val="hybridMultilevel"/>
    <w:lvl w:ilvl="0">
      <w:lvlJc w:val="left"/>
      <w:lvlText w:val="(%1)"/>
      <w:numFmt w:val="upperLetter"/>
      <w:start w:val="1"/>
    </w:lvl>
    <w:lvl w:ilvl="1">
      <w:lvlJc w:val="left"/>
      <w:lvlText w:val="(%2)"/>
      <w:numFmt w:val="decimal"/>
      <w:start w:val="1"/>
    </w:lvl>
  </w:abstractNum>
  <w:abstractNum w:abstractNumId="388">
    <w:nsid w:val="22D71957"/>
    <w:multiLevelType w:val="hybridMultilevel"/>
    <w:lvl w:ilvl="0">
      <w:lvlJc w:val="left"/>
      <w:lvlText w:val="[*]"/>
      <w:numFmt w:val="bullet"/>
      <w:start w:val="1"/>
    </w:lvl>
  </w:abstractNum>
  <w:abstractNum w:abstractNumId="389">
    <w:nsid w:val="4CC1263B"/>
    <w:multiLevelType w:val="hybridMultilevel"/>
    <w:lvl w:ilvl="0">
      <w:lvlJc w:val="left"/>
      <w:lvlText w:val="(%1)"/>
      <w:numFmt w:val="upperLetter"/>
      <w:start w:val="1"/>
    </w:lvl>
  </w:abstractNum>
  <w:abstractNum w:abstractNumId="390">
    <w:nsid w:val="8BBEB1D"/>
    <w:multiLevelType w:val="hybridMultilevel"/>
    <w:lvl w:ilvl="0">
      <w:lvlJc w:val="left"/>
      <w:lvlText w:val="%1"/>
      <w:numFmt w:val="decimal"/>
      <w:start w:val="1"/>
    </w:lvl>
    <w:lvl w:ilvl="1">
      <w:lvlJc w:val="left"/>
      <w:lvlText w:val="(%2)"/>
      <w:numFmt w:val="upperLetter"/>
      <w:start w:val="1"/>
    </w:lvl>
  </w:abstractNum>
  <w:abstractNum w:abstractNumId="391">
    <w:nsid w:val="7365F1EE"/>
    <w:multiLevelType w:val="hybridMultilevel"/>
    <w:lvl w:ilvl="0">
      <w:lvlJc w:val="left"/>
      <w:lvlText w:val="%1."/>
      <w:numFmt w:val="decimal"/>
      <w:start w:val="5"/>
    </w:lvl>
    <w:lvl w:ilvl="1">
      <w:lvlJc w:val="left"/>
      <w:lvlText w:val="%2"/>
      <w:numFmt w:val="upperLetter"/>
      <w:start w:val="1"/>
    </w:lvl>
  </w:abstractNum>
  <w:abstractNum w:abstractNumId="392">
    <w:nsid w:val="37524CF0"/>
    <w:multiLevelType w:val="hybridMultilevel"/>
    <w:lvl w:ilvl="0">
      <w:lvlJc w:val="left"/>
      <w:lvlText w:val="%1."/>
      <w:numFmt w:val="decimal"/>
      <w:start w:val="6"/>
    </w:lvl>
  </w:abstractNum>
  <w:abstractNum w:abstractNumId="393">
    <w:nsid w:val="70CC332F"/>
    <w:multiLevelType w:val="hybridMultilevel"/>
    <w:lvl w:ilvl="0">
      <w:lvlJc w:val="left"/>
      <w:lvlText w:val="[*]"/>
      <w:numFmt w:val="bullet"/>
      <w:start w:val="1"/>
    </w:lvl>
  </w:abstractNum>
  <w:abstractNum w:abstractNumId="394">
    <w:nsid w:val="5661786E"/>
    <w:multiLevelType w:val="hybridMultilevel"/>
    <w:lvl w:ilvl="0">
      <w:lvlJc w:val="left"/>
      <w:lvlText w:val="%1."/>
      <w:numFmt w:val="decimal"/>
      <w:start w:val="7"/>
    </w:lvl>
  </w:abstractNum>
  <w:abstractNum w:abstractNumId="395">
    <w:nsid w:val="3AF6A220"/>
    <w:multiLevelType w:val="hybridMultilevel"/>
    <w:lvl w:ilvl="0">
      <w:lvlJc w:val="left"/>
      <w:lvlText w:val="[*]"/>
      <w:numFmt w:val="bullet"/>
      <w:start w:val="1"/>
    </w:lvl>
    <w:lvl w:ilvl="1">
      <w:lvlJc w:val="left"/>
      <w:lvlText w:val="(%2)"/>
      <w:numFmt w:val="upperLetter"/>
      <w:start w:val="1"/>
    </w:lvl>
  </w:abstractNum>
  <w:abstractNum w:abstractNumId="396">
    <w:nsid w:val="3C5EA902"/>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397">
    <w:nsid w:val="256E6749"/>
    <w:multiLevelType w:val="hybridMultilevel"/>
    <w:lvl w:ilvl="0">
      <w:lvlJc w:val="left"/>
      <w:lvlText w:val="[*]"/>
      <w:numFmt w:val="bullet"/>
      <w:start w:val="1"/>
    </w:lvl>
    <w:lvl w:ilvl="1">
      <w:lvlJc w:val="left"/>
      <w:lvlText w:val="(%2)"/>
      <w:numFmt w:val="upperLetter"/>
      <w:start w:val="2"/>
    </w:lvl>
    <w:lvl w:ilvl="2">
      <w:lvlJc w:val="left"/>
      <w:lvlText w:val="(%3)"/>
      <w:numFmt w:val="decimal"/>
      <w:start w:val="1"/>
    </w:lvl>
    <w:lvl w:ilvl="3">
      <w:lvlJc w:val="left"/>
      <w:lvlText w:val="%4"/>
      <w:numFmt w:val="lowerRoman"/>
      <w:start w:val="1"/>
    </w:lvl>
  </w:abstractNum>
  <w:abstractNum w:abstractNumId="398">
    <w:nsid w:val="1CB9A581"/>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5"/>
    </w:lvl>
  </w:abstractNum>
  <w:abstractNum w:abstractNumId="399">
    <w:nsid w:val="1F7F42E2"/>
    <w:multiLevelType w:val="hybridMultilevel"/>
    <w:lvl w:ilvl="0">
      <w:lvlJc w:val="left"/>
      <w:lvlText w:val="(%1)"/>
      <w:numFmt w:val="upperLetter"/>
      <w:start w:val="3"/>
    </w:lvl>
    <w:lvl w:ilvl="1">
      <w:lvlJc w:val="left"/>
      <w:lvlText w:val="(%2)"/>
      <w:numFmt w:val="lowerRoman"/>
      <w:start w:val="2"/>
    </w:lvl>
    <w:lvl w:ilvl="2">
      <w:lvlJc w:val="left"/>
      <w:lvlText w:val="%3"/>
      <w:numFmt w:val="decimal"/>
      <w:start w:val="1"/>
    </w:lvl>
  </w:abstractNum>
  <w:abstractNum w:abstractNumId="400">
    <w:nsid w:val="49D1FEA0"/>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401">
    <w:nsid w:val="268CB37F"/>
    <w:multiLevelType w:val="hybridMultilevel"/>
    <w:lvl w:ilvl="0">
      <w:lvlJc w:val="left"/>
      <w:lvlText w:val="(%1)"/>
      <w:numFmt w:val="upperLetter"/>
      <w:start w:val="4"/>
    </w:lvl>
  </w:abstractNum>
  <w:abstractNum w:abstractNumId="402">
    <w:nsid w:val="102362F8"/>
    <w:multiLevelType w:val="hybridMultilevel"/>
    <w:lvl w:ilvl="0">
      <w:lvlJc w:val="left"/>
      <w:lvlText w:val="(%1)"/>
      <w:numFmt w:val="upperLetter"/>
      <w:start w:val="1"/>
    </w:lvl>
  </w:abstractNum>
  <w:abstractNum w:abstractNumId="403">
    <w:nsid w:val="5FEDC0E3"/>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404">
    <w:nsid w:val="3D75BC47"/>
    <w:multiLevelType w:val="hybridMultilevel"/>
    <w:lvl w:ilvl="0">
      <w:lvlJc w:val="left"/>
      <w:lvlText w:val="(%1)"/>
      <w:numFmt w:val="decimal"/>
      <w:start w:val="2"/>
    </w:lvl>
  </w:abstractNum>
  <w:abstractNum w:abstractNumId="405">
    <w:nsid w:val="3E30D969"/>
    <w:multiLevelType w:val="hybridMultilevel"/>
    <w:lvl w:ilvl="0">
      <w:lvlJc w:val="left"/>
      <w:lvlText w:val="(%1)"/>
      <w:numFmt w:val="upperLetter"/>
      <w:start w:val="1"/>
    </w:lvl>
  </w:abstractNum>
  <w:abstractNum w:abstractNumId="406">
    <w:nsid w:val="18A35FE3"/>
    <w:multiLevelType w:val="hybridMultilevel"/>
    <w:lvl w:ilvl="0">
      <w:lvlJc w:val="left"/>
      <w:lvlText w:val="(%1)"/>
      <w:numFmt w:val="upperLetter"/>
      <w:start w:val="2"/>
    </w:lvl>
  </w:abstractNum>
  <w:abstractNum w:abstractNumId="407">
    <w:nsid w:val="6DEF5211"/>
    <w:multiLevelType w:val="hybridMultilevel"/>
    <w:lvl w:ilvl="0">
      <w:lvlJc w:val="left"/>
      <w:lvlText w:val="[*]"/>
      <w:numFmt w:val="bullet"/>
      <w:start w:val="1"/>
    </w:lvl>
  </w:abstractNum>
  <w:abstractNum w:abstractNumId="408">
    <w:nsid w:val="1112DBB6"/>
    <w:multiLevelType w:val="hybridMultilevel"/>
    <w:lvl w:ilvl="0">
      <w:lvlJc w:val="left"/>
      <w:lvlText w:val="(%1)"/>
      <w:numFmt w:val="upperLetter"/>
      <w:start w:val="3"/>
    </w:lvl>
  </w:abstractNum>
  <w:abstractNum w:abstractNumId="409">
    <w:nsid w:val="2586A498"/>
    <w:multiLevelType w:val="hybridMultilevel"/>
    <w:lvl w:ilvl="0">
      <w:lvlJc w:val="left"/>
      <w:lvlText w:val="[*]"/>
      <w:numFmt w:val="bullet"/>
      <w:start w:val="1"/>
    </w:lvl>
  </w:abstractNum>
  <w:abstractNum w:abstractNumId="410">
    <w:nsid w:val="17A03BB9"/>
    <w:multiLevelType w:val="hybridMultilevel"/>
    <w:lvl w:ilvl="0">
      <w:lvlJc w:val="left"/>
      <w:lvlText w:val="(%1)"/>
      <w:numFmt w:val="upperLetter"/>
      <w:start w:val="1"/>
    </w:lvl>
  </w:abstractNum>
  <w:abstractNum w:abstractNumId="411">
    <w:nsid w:val="5CA941"/>
    <w:multiLevelType w:val="hybridMultilevel"/>
    <w:lvl w:ilvl="0">
      <w:lvlJc w:val="left"/>
      <w:lvlText w:val="%1."/>
      <w:numFmt w:val="decimal"/>
      <w:start w:val="8"/>
    </w:lvl>
  </w:abstractNum>
  <w:abstractNum w:abstractNumId="412">
    <w:nsid w:val="734C7D9F"/>
    <w:multiLevelType w:val="hybridMultilevel"/>
    <w:lvl w:ilvl="0">
      <w:lvlJc w:val="left"/>
      <w:lvlText w:val="[*]"/>
      <w:numFmt w:val="bullet"/>
      <w:start w:val="1"/>
    </w:lvl>
  </w:abstractNum>
  <w:abstractNum w:abstractNumId="413">
    <w:nsid w:val="24F5D018"/>
    <w:multiLevelType w:val="hybridMultilevel"/>
    <w:lvl w:ilvl="0">
      <w:lvlJc w:val="left"/>
      <w:lvlText w:val="%1."/>
      <w:numFmt w:val="decimal"/>
      <w:start w:val="9"/>
    </w:lvl>
  </w:abstractNum>
  <w:abstractNum w:abstractNumId="414">
    <w:nsid w:val="6780C122"/>
    <w:multiLevelType w:val="hybridMultilevel"/>
    <w:lvl w:ilvl="0">
      <w:lvlJc w:val="left"/>
      <w:lvlText w:val="(%1)"/>
      <w:numFmt w:val="upperLetter"/>
      <w:start w:val="1"/>
    </w:lvl>
  </w:abstractNum>
  <w:abstractNum w:abstractNumId="415">
    <w:nsid w:val="534347A8"/>
    <w:multiLevelType w:val="hybridMultilevel"/>
    <w:lvl w:ilvl="0">
      <w:lvlJc w:val="left"/>
      <w:lvlText w:val="%1"/>
      <w:numFmt w:val="decimal"/>
      <w:start w:val="1"/>
    </w:lvl>
    <w:lvl w:ilvl="1">
      <w:lvlJc w:val="left"/>
      <w:lvlText w:val="(%2)"/>
      <w:numFmt w:val="upperLetter"/>
      <w:start w:val="1"/>
    </w:lvl>
  </w:abstractNum>
  <w:abstractNum w:abstractNumId="416">
    <w:nsid w:val="5800E34B"/>
    <w:multiLevelType w:val="hybridMultilevel"/>
    <w:lvl w:ilvl="0">
      <w:lvlJc w:val="left"/>
      <w:lvlText w:val="%1."/>
      <w:numFmt w:val="decimal"/>
      <w:start w:val="10"/>
    </w:lvl>
    <w:lvl w:ilvl="1">
      <w:lvlJc w:val="left"/>
      <w:lvlText w:val="%2"/>
      <w:numFmt w:val="upperLetter"/>
      <w:start w:val="1"/>
    </w:lvl>
  </w:abstractNum>
  <w:abstractNum w:abstractNumId="417">
    <w:nsid w:val="1673EFC8"/>
    <w:multiLevelType w:val="hybridMultilevel"/>
    <w:lvl w:ilvl="0">
      <w:lvlJc w:val="left"/>
      <w:lvlText w:val="[*]"/>
      <w:numFmt w:val="bullet"/>
      <w:start w:val="1"/>
    </w:lvl>
    <w:lvl w:ilvl="1">
      <w:lvlJc w:val="left"/>
      <w:lvlText w:val="(%2)"/>
      <w:numFmt w:val="upperLetter"/>
      <w:start w:val="1"/>
    </w:lvl>
  </w:abstractNum>
  <w:abstractNum w:abstractNumId="418">
    <w:nsid w:val="5B9B1FD"/>
    <w:multiLevelType w:val="hybridMultilevel"/>
    <w:lvl w:ilvl="0">
      <w:lvlJc w:val="left"/>
      <w:lvlText w:val="(%1)"/>
      <w:numFmt w:val="upperLetter"/>
      <w:start w:val="2"/>
    </w:lvl>
  </w:abstractNum>
  <w:abstractNum w:abstractNumId="419">
    <w:nsid w:val="7AD7FCA2"/>
    <w:multiLevelType w:val="hybridMultilevel"/>
    <w:lvl w:ilvl="0">
      <w:lvlJc w:val="left"/>
      <w:lvlText w:val="%1."/>
      <w:numFmt w:val="decimal"/>
      <w:start w:val="11"/>
    </w:lvl>
  </w:abstractNum>
  <w:abstractNum w:abstractNumId="420">
    <w:nsid w:val="63351604"/>
    <w:multiLevelType w:val="hybridMultilevel"/>
    <w:lvl w:ilvl="0">
      <w:lvlJc w:val="left"/>
      <w:lvlText w:val="[*]"/>
      <w:numFmt w:val="bullet"/>
      <w:start w:val="1"/>
    </w:lvl>
  </w:abstractNum>
  <w:abstractNum w:abstractNumId="421">
    <w:nsid w:val="E759D1A"/>
    <w:multiLevelType w:val="hybridMultilevel"/>
    <w:lvl w:ilvl="0">
      <w:lvlJc w:val="left"/>
      <w:lvlText w:val="%1."/>
      <w:numFmt w:val="decimal"/>
      <w:start w:val="12"/>
    </w:lvl>
  </w:abstractNum>
  <w:abstractNum w:abstractNumId="422">
    <w:nsid w:val="6E3DEE90"/>
    <w:multiLevelType w:val="hybridMultilevel"/>
    <w:lvl w:ilvl="0">
      <w:lvlJc w:val="left"/>
      <w:lvlText w:val="%1."/>
      <w:numFmt w:val="decimal"/>
      <w:start w:val="13"/>
    </w:lvl>
  </w:abstractNum>
  <w:abstractNum w:abstractNumId="423">
    <w:nsid w:val="1A8762F4"/>
    <w:multiLevelType w:val="hybridMultilevel"/>
    <w:lvl w:ilvl="0">
      <w:lvlJc w:val="left"/>
      <w:lvlText w:val="(%1)"/>
      <w:numFmt w:val="lowerRoman"/>
      <w:start w:val="3"/>
    </w:lvl>
  </w:abstractNum>
  <w:abstractNum w:abstractNumId="424">
    <w:nsid w:val="7F41D049"/>
    <w:multiLevelType w:val="hybridMultilevel"/>
    <w:lvl w:ilvl="0">
      <w:lvlJc w:val="left"/>
      <w:lvlText w:val="%1."/>
      <w:numFmt w:val="decimal"/>
      <w:start w:val="14"/>
    </w:lvl>
  </w:abstractNum>
  <w:abstractNum w:abstractNumId="425">
    <w:nsid w:val="449F66FE"/>
    <w:multiLevelType w:val="hybridMultilevel"/>
    <w:lvl w:ilvl="0">
      <w:lvlJc w:val="left"/>
      <w:lvlText w:val="[*]"/>
      <w:numFmt w:val="bullet"/>
      <w:start w:val="1"/>
    </w:lvl>
    <w:lvl w:ilvl="1">
      <w:lvlJc w:val="left"/>
      <w:lvlText w:val="(%2)"/>
      <w:numFmt w:val="upperLetter"/>
      <w:start w:val="1"/>
    </w:lvl>
  </w:abstractNum>
  <w:abstractNum w:abstractNumId="426">
    <w:nsid w:val="557E0515"/>
    <w:multiLevelType w:val="hybridMultilevel"/>
    <w:lvl w:ilvl="0">
      <w:lvlJc w:val="left"/>
      <w:lvlText w:val="(%1)"/>
      <w:numFmt w:val="upperLetter"/>
      <w:start w:val="3"/>
    </w:lvl>
  </w:abstractNum>
  <w:abstractNum w:abstractNumId="427">
    <w:nsid w:val="3BA0794B"/>
    <w:multiLevelType w:val="hybridMultilevel"/>
    <w:lvl w:ilvl="0">
      <w:lvlJc w:val="left"/>
      <w:lvlText w:val="(%1)"/>
      <w:numFmt w:val="upperLetter"/>
      <w:start w:val="1"/>
    </w:lvl>
    <w:lvl w:ilvl="1">
      <w:lvlJc w:val="left"/>
      <w:lvlText w:val="(%2)"/>
      <w:numFmt w:val="decimal"/>
      <w:start w:val="1"/>
    </w:lvl>
  </w:abstractNum>
  <w:abstractNum w:abstractNumId="428">
    <w:nsid w:val="6A0DCE48"/>
    <w:multiLevelType w:val="hybridMultilevel"/>
    <w:lvl w:ilvl="0">
      <w:lvlJc w:val="left"/>
      <w:lvlText w:val="[*]"/>
      <w:numFmt w:val="bullet"/>
      <w:start w:val="1"/>
    </w:lvl>
  </w:abstractNum>
  <w:abstractNum w:abstractNumId="429">
    <w:nsid w:val="7237AA96"/>
    <w:multiLevelType w:val="hybridMultilevel"/>
    <w:lvl w:ilvl="0">
      <w:lvlJc w:val="left"/>
      <w:lvlText w:val="(%1)"/>
      <w:numFmt w:val="upperLetter"/>
      <w:start w:val="1"/>
    </w:lvl>
  </w:abstractNum>
  <w:abstractNum w:abstractNumId="430">
    <w:nsid w:val="5B1FBC2D"/>
    <w:multiLevelType w:val="hybridMultilevel"/>
    <w:lvl w:ilvl="0">
      <w:lvlJc w:val="left"/>
      <w:lvlText w:val="(%1)"/>
      <w:numFmt w:val="upperLetter"/>
      <w:start w:val="1"/>
    </w:lvl>
  </w:abstractNum>
  <w:abstractNum w:abstractNumId="431">
    <w:nsid w:val="33DFCCE8"/>
    <w:multiLevelType w:val="hybridMultilevel"/>
    <w:lvl w:ilvl="0">
      <w:lvlJc w:val="left"/>
      <w:lvlText w:val="[*]"/>
      <w:numFmt w:val="bullet"/>
      <w:start w:val="1"/>
    </w:lvl>
  </w:abstractNum>
  <w:abstractNum w:abstractNumId="432">
    <w:nsid w:val="18C45E15"/>
    <w:multiLevelType w:val="hybridMultilevel"/>
    <w:lvl w:ilvl="0">
      <w:lvlJc w:val="left"/>
      <w:lvlText w:val="%1."/>
      <w:numFmt w:val="decimal"/>
      <w:start w:val="15"/>
    </w:lvl>
  </w:abstractNum>
  <w:abstractNum w:abstractNumId="433">
    <w:nsid w:val="6B431F25"/>
    <w:multiLevelType w:val="hybridMultilevel"/>
    <w:lvl w:ilvl="0">
      <w:lvlJc w:val="left"/>
      <w:lvlText w:val="(%1)"/>
      <w:numFmt w:val="upperLetter"/>
      <w:start w:val="1"/>
    </w:lvl>
    <w:lvl w:ilvl="1">
      <w:lvlJc w:val="left"/>
      <w:lvlText w:val="(%2)"/>
      <w:numFmt w:val="decimal"/>
      <w:start w:val="1"/>
    </w:lvl>
  </w:abstractNum>
  <w:abstractNum w:abstractNumId="434">
    <w:nsid w:val="13CD8DCB"/>
    <w:multiLevelType w:val="hybridMultilevel"/>
    <w:lvl w:ilvl="0">
      <w:lvlJc w:val="left"/>
      <w:lvlText w:val="%1"/>
      <w:numFmt w:val="decimal"/>
      <w:start w:val="1"/>
    </w:lvl>
    <w:lvl w:ilvl="1">
      <w:lvlJc w:val="left"/>
      <w:lvlText w:val="(%2)"/>
      <w:numFmt w:val="upperLetter"/>
      <w:start w:val="1"/>
    </w:lvl>
  </w:abstractNum>
  <w:abstractNum w:abstractNumId="435">
    <w:nsid w:val="563A1A5C"/>
    <w:multiLevelType w:val="hybridMultilevel"/>
    <w:lvl w:ilvl="0">
      <w:lvlJc w:val="left"/>
      <w:lvlText w:val="%1."/>
      <w:numFmt w:val="decimal"/>
      <w:start w:val="16"/>
    </w:lvl>
    <w:lvl w:ilvl="1">
      <w:lvlJc w:val="left"/>
      <w:lvlText w:val="%2"/>
      <w:numFmt w:val="upperLetter"/>
      <w:start w:val="1"/>
    </w:lvl>
  </w:abstractNum>
  <w:abstractNum w:abstractNumId="436">
    <w:nsid w:val="2973F88F"/>
    <w:multiLevelType w:val="hybridMultilevel"/>
    <w:lvl w:ilvl="0">
      <w:lvlJc w:val="left"/>
      <w:lvlText w:val="[*]"/>
      <w:numFmt w:val="bullet"/>
      <w:start w:val="1"/>
    </w:lvl>
  </w:abstractNum>
  <w:abstractNum w:abstractNumId="437">
    <w:nsid w:val="2C70EDAE"/>
    <w:multiLevelType w:val="hybridMultilevel"/>
    <w:lvl w:ilvl="0">
      <w:lvlJc w:val="left"/>
      <w:lvlText w:val="(%1)"/>
      <w:numFmt w:val="upperLetter"/>
      <w:start w:val="1"/>
    </w:lvl>
  </w:abstractNum>
  <w:abstractNum w:abstractNumId="438">
    <w:nsid w:val="44296C6D"/>
    <w:multiLevelType w:val="hybridMultilevel"/>
    <w:lvl w:ilvl="0">
      <w:lvlJc w:val="left"/>
      <w:lvlText w:val="%1."/>
      <w:numFmt w:val="decimal"/>
      <w:start w:val="17"/>
    </w:lvl>
  </w:abstractNum>
  <w:abstractNum w:abstractNumId="439">
    <w:nsid w:val="3A86D445"/>
    <w:multiLevelType w:val="hybridMultilevel"/>
    <w:lvl w:ilvl="0">
      <w:lvlJc w:val="left"/>
      <w:lvlText w:val="[*]"/>
      <w:numFmt w:val="bullet"/>
      <w:start w:val="1"/>
    </w:lvl>
  </w:abstractNum>
  <w:abstractNum w:abstractNumId="440">
    <w:nsid w:val="51F79246"/>
    <w:multiLevelType w:val="hybridMultilevel"/>
    <w:lvl w:ilvl="0">
      <w:lvlJc w:val="left"/>
      <w:lvlText w:val="%1."/>
      <w:numFmt w:val="decimal"/>
      <w:start w:val="18"/>
    </w:lvl>
  </w:abstractNum>
  <w:abstractNum w:abstractNumId="441">
    <w:nsid w:val="5BC9A827"/>
    <w:multiLevelType w:val="hybridMultilevel"/>
    <w:lvl w:ilvl="0">
      <w:lvlJc w:val="left"/>
      <w:lvlText w:val="[*]"/>
      <w:numFmt w:val="bullet"/>
      <w:start w:val="1"/>
    </w:lvl>
  </w:abstractNum>
  <w:abstractNum w:abstractNumId="442">
    <w:nsid w:val="3AE37D86"/>
    <w:multiLevelType w:val="hybridMultilevel"/>
    <w:lvl w:ilvl="0">
      <w:lvlJc w:val="left"/>
      <w:lvlText w:val="%1."/>
      <w:numFmt w:val="decimal"/>
      <w:start w:val="19"/>
    </w:lvl>
  </w:abstractNum>
  <w:abstractNum w:abstractNumId="443">
    <w:nsid w:val="45440FE5"/>
    <w:multiLevelType w:val="hybridMultilevel"/>
    <w:lvl w:ilvl="0">
      <w:lvlJc w:val="left"/>
      <w:lvlText w:val="(%1)"/>
      <w:numFmt w:val="lowerLetter"/>
      <w:start w:val="1"/>
    </w:lvl>
  </w:abstractNum>
  <w:abstractNum w:abstractNumId="444">
    <w:nsid w:val="BF783F"/>
    <w:multiLevelType w:val="hybridMultilevel"/>
    <w:lvl w:ilvl="0">
      <w:lvlJc w:val="left"/>
      <w:lvlText w:val="[*]"/>
      <w:numFmt w:val="bullet"/>
      <w:start w:val="1"/>
    </w:lvl>
  </w:abstractNum>
  <w:abstractNum w:abstractNumId="445">
    <w:nsid w:val="22643EA9"/>
    <w:multiLevelType w:val="hybridMultilevel"/>
    <w:lvl w:ilvl="0">
      <w:lvlJc w:val="left"/>
      <w:lvlText w:val="[*]"/>
      <w:numFmt w:val="bullet"/>
      <w:start w:val="1"/>
    </w:lvl>
  </w:abstractNum>
  <w:abstractNum w:abstractNumId="446">
    <w:nsid w:val="1887578D"/>
    <w:multiLevelType w:val="hybridMultilevel"/>
    <w:lvl w:ilvl="0">
      <w:lvlJc w:val="left"/>
      <w:lvlText w:val="[*]"/>
      <w:numFmt w:val="bullet"/>
      <w:start w:val="1"/>
    </w:lvl>
  </w:abstractNum>
  <w:abstractNum w:abstractNumId="447">
    <w:nsid w:val="58C05B8A"/>
    <w:multiLevelType w:val="hybridMultilevel"/>
    <w:lvl w:ilvl="0">
      <w:lvlJc w:val="left"/>
      <w:lvlText w:val="[*]"/>
      <w:numFmt w:val="bullet"/>
      <w:start w:val="1"/>
    </w:lvl>
  </w:abstractNum>
  <w:abstractNum w:abstractNumId="448">
    <w:nsid w:val="38D82E71"/>
    <w:multiLevelType w:val="hybridMultilevel"/>
    <w:lvl w:ilvl="0">
      <w:lvlJc w:val="left"/>
      <w:lvlText w:val="[*]"/>
      <w:numFmt w:val="bullet"/>
      <w:start w:val="1"/>
    </w:lvl>
  </w:abstractNum>
  <w:abstractNum w:abstractNumId="449">
    <w:nsid w:val="1E41098A"/>
    <w:multiLevelType w:val="hybridMultilevel"/>
    <w:lvl w:ilvl="0">
      <w:lvlJc w:val="left"/>
      <w:lvlText w:val="[*]"/>
      <w:numFmt w:val="bullet"/>
      <w:start w:val="1"/>
    </w:lvl>
  </w:abstractNum>
  <w:abstractNum w:abstractNumId="450">
    <w:nsid w:val="5398582C"/>
    <w:multiLevelType w:val="hybridMultilevel"/>
    <w:lvl w:ilvl="0">
      <w:lvlJc w:val="left"/>
      <w:lvlText w:val="[*]"/>
      <w:numFmt w:val="bullet"/>
      <w:start w:val="1"/>
    </w:lvl>
  </w:abstractNum>
  <w:abstractNum w:abstractNumId="451">
    <w:nsid w:val="1C0D4475"/>
    <w:multiLevelType w:val="hybridMultilevel"/>
    <w:lvl w:ilvl="0">
      <w:lvlJc w:val="left"/>
      <w:lvlText w:val="[*]"/>
      <w:numFmt w:val="bullet"/>
      <w:start w:val="1"/>
    </w:lvl>
  </w:abstractNum>
  <w:abstractNum w:abstractNumId="452">
    <w:nsid w:val="2CB6A6A4"/>
    <w:multiLevelType w:val="hybridMultilevel"/>
    <w:lvl w:ilvl="0">
      <w:lvlJc w:val="left"/>
      <w:lvlText w:val="[*]"/>
      <w:numFmt w:val="bullet"/>
      <w:start w:val="1"/>
    </w:lvl>
  </w:abstractNum>
  <w:abstractNum w:abstractNumId="453">
    <w:nsid w:val="41D646BC"/>
    <w:multiLevelType w:val="hybridMultilevel"/>
    <w:lvl w:ilvl="0">
      <w:lvlJc w:val="left"/>
      <w:lvlText w:val="[*]"/>
      <w:numFmt w:val="bullet"/>
      <w:start w:val="1"/>
    </w:lvl>
  </w:abstractNum>
  <w:abstractNum w:abstractNumId="454">
    <w:nsid w:val="3694A76A"/>
    <w:multiLevelType w:val="hybridMultilevel"/>
    <w:lvl w:ilvl="0">
      <w:lvlJc w:val="left"/>
      <w:lvlText w:val="[*]"/>
      <w:numFmt w:val="bullet"/>
      <w:start w:val="1"/>
    </w:lvl>
  </w:abstractNum>
  <w:abstractNum w:abstractNumId="455">
    <w:nsid w:val="2BF876EE"/>
    <w:multiLevelType w:val="hybridMultilevel"/>
    <w:lvl w:ilvl="0">
      <w:lvlJc w:val="left"/>
      <w:lvlText w:val="[*]"/>
      <w:numFmt w:val="bullet"/>
      <w:start w:val="1"/>
    </w:lvl>
  </w:abstractNum>
  <w:abstractNum w:abstractNumId="456">
    <w:nsid w:val="675ADBA"/>
    <w:multiLevelType w:val="hybridMultilevel"/>
    <w:lvl w:ilvl="0">
      <w:lvlJc w:val="left"/>
      <w:lvlText w:val="%1."/>
      <w:numFmt w:val="decimal"/>
      <w:start w:val="1"/>
    </w:lvl>
  </w:abstractNum>
  <w:abstractNum w:abstractNumId="457">
    <w:nsid w:val="C12AC7F"/>
    <w:multiLevelType w:val="hybridMultilevel"/>
    <w:lvl w:ilvl="0">
      <w:lvlJc w:val="left"/>
      <w:lvlText w:val="%1"/>
      <w:numFmt w:val="decimal"/>
      <w:start w:val="1"/>
    </w:lvl>
    <w:lvl w:ilvl="1">
      <w:lvlJc w:val="left"/>
      <w:lvlText w:val="(%2)"/>
      <w:numFmt w:val="upperLetter"/>
      <w:start w:val="1"/>
    </w:lvl>
  </w:abstractNum>
  <w:abstractNum w:abstractNumId="458">
    <w:nsid w:val="6798F039"/>
    <w:multiLevelType w:val="hybridMultilevel"/>
    <w:lvl w:ilvl="0">
      <w:lvlJc w:val="left"/>
      <w:lvlText w:val="%1."/>
      <w:numFmt w:val="decimal"/>
      <w:start w:val="3"/>
    </w:lvl>
    <w:lvl w:ilvl="1">
      <w:lvlJc w:val="left"/>
      <w:lvlText w:val="%2"/>
      <w:numFmt w:val="upperLetter"/>
      <w:start w:val="1"/>
    </w:lvl>
  </w:abstractNum>
  <w:abstractNum w:abstractNumId="459">
    <w:nsid w:val="70837C02"/>
    <w:multiLevelType w:val="hybridMultilevel"/>
    <w:lvl w:ilvl="0">
      <w:lvlJc w:val="left"/>
      <w:lvlText w:val="[*]"/>
      <w:numFmt w:val="bullet"/>
      <w:start w:val="1"/>
    </w:lvl>
  </w:abstractNum>
  <w:abstractNum w:abstractNumId="460">
    <w:nsid w:val="7E4A5715"/>
    <w:multiLevelType w:val="hybridMultilevel"/>
    <w:lvl w:ilvl="0">
      <w:lvlJc w:val="left"/>
      <w:lvlText w:val="%1."/>
      <w:numFmt w:val="decimal"/>
      <w:start w:val="5"/>
    </w:lvl>
  </w:abstractNum>
  <w:abstractNum w:abstractNumId="461">
    <w:nsid w:val="42B8AC67"/>
    <w:multiLevelType w:val="hybridMultilevel"/>
    <w:lvl w:ilvl="0">
      <w:lvlJc w:val="left"/>
      <w:lvlText w:val="[*]"/>
      <w:numFmt w:val="bullet"/>
      <w:start w:val="1"/>
    </w:lvl>
  </w:abstractNum>
  <w:abstractNum w:abstractNumId="462">
    <w:nsid w:val="246348EA"/>
    <w:multiLevelType w:val="hybridMultilevel"/>
    <w:lvl w:ilvl="0">
      <w:lvlJc w:val="left"/>
      <w:lvlText w:val="%1."/>
      <w:numFmt w:val="decimal"/>
      <w:start w:val="9"/>
    </w:lvl>
  </w:abstractNum>
  <w:abstractNum w:abstractNumId="463">
    <w:nsid w:val="170EB52B"/>
    <w:multiLevelType w:val="hybridMultilevel"/>
    <w:lvl w:ilvl="0">
      <w:lvlJc w:val="left"/>
      <w:lvlText w:val="[*]"/>
      <w:numFmt w:val="bullet"/>
      <w:start w:val="1"/>
    </w:lvl>
  </w:abstractNum>
  <w:abstractNum w:abstractNumId="464">
    <w:nsid w:val="2DFBCB8C"/>
    <w:multiLevelType w:val="hybridMultilevel"/>
    <w:lvl w:ilvl="0">
      <w:lvlJc w:val="left"/>
      <w:lvlText w:val="[*]"/>
      <w:numFmt w:val="bullet"/>
      <w:start w:val="1"/>
    </w:lvl>
  </w:abstractNum>
  <w:abstractNum w:abstractNumId="465">
    <w:nsid w:val="3830D6B6"/>
    <w:multiLevelType w:val="hybridMultilevel"/>
    <w:lvl w:ilvl="0">
      <w:lvlJc w:val="left"/>
      <w:lvlText w:val="[*]"/>
      <w:numFmt w:val="bullet"/>
      <w:start w:val="1"/>
    </w:lvl>
  </w:abstractNum>
  <w:abstractNum w:abstractNumId="466">
    <w:nsid w:val="6D48CF87"/>
    <w:multiLevelType w:val="hybridMultilevel"/>
    <w:lvl w:ilvl="0">
      <w:lvlJc w:val="left"/>
      <w:lvlText w:val="[*]"/>
      <w:numFmt w:val="bullet"/>
      <w:start w:val="1"/>
    </w:lvl>
  </w:abstractNum>
  <w:abstractNum w:abstractNumId="467">
    <w:nsid w:val="576FC41B"/>
    <w:multiLevelType w:val="hybridMultilevel"/>
    <w:lvl w:ilvl="0">
      <w:lvlJc w:val="left"/>
      <w:lvlText w:val="[*]"/>
      <w:numFmt w:val="bullet"/>
      <w:start w:val="1"/>
    </w:lvl>
  </w:abstractNum>
  <w:abstractNum w:abstractNumId="468">
    <w:nsid w:val="64A1C464"/>
    <w:multiLevelType w:val="hybridMultilevel"/>
    <w:lvl w:ilvl="0">
      <w:lvlJc w:val="left"/>
      <w:lvlText w:val="[*]"/>
      <w:numFmt w:val="bullet"/>
      <w:start w:val="1"/>
    </w:lvl>
  </w:abstractNum>
  <w:abstractNum w:abstractNumId="469">
    <w:nsid w:val="31723BF5"/>
    <w:multiLevelType w:val="hybridMultilevel"/>
    <w:lvl w:ilvl="0">
      <w:lvlJc w:val="left"/>
      <w:lvlText w:val="[*]"/>
      <w:numFmt w:val="bullet"/>
      <w:start w:val="1"/>
    </w:lvl>
  </w:abstractNum>
  <w:abstractNum w:abstractNumId="470">
    <w:nsid w:val="11F69861"/>
    <w:multiLevelType w:val="hybridMultilevel"/>
    <w:lvl w:ilvl="0">
      <w:lvlJc w:val="left"/>
      <w:lvlText w:val="%1."/>
      <w:numFmt w:val="decimal"/>
      <w:start w:val="1"/>
    </w:lvl>
  </w:abstractNum>
  <w:abstractNum w:abstractNumId="471">
    <w:nsid w:val="369956AB"/>
    <w:multiLevelType w:val="hybridMultilevel"/>
    <w:lvl w:ilvl="0">
      <w:lvlJc w:val="left"/>
      <w:lvlText w:val="[*]"/>
      <w:numFmt w:val="bullet"/>
      <w:start w:val="1"/>
    </w:lvl>
  </w:abstractNum>
  <w:abstractNum w:abstractNumId="472">
    <w:nsid w:val="D3BE41C"/>
    <w:multiLevelType w:val="hybridMultilevel"/>
    <w:lvl w:ilvl="0">
      <w:lvlJc w:val="left"/>
      <w:lvlText w:val="[*]"/>
      <w:numFmt w:val="bullet"/>
      <w:start w:val="1"/>
    </w:lvl>
  </w:abstractNum>
  <w:abstractNum w:abstractNumId="473">
    <w:nsid w:val="4CDA15E7"/>
    <w:multiLevelType w:val="hybridMultilevel"/>
    <w:lvl w:ilvl="0">
      <w:lvlJc w:val="left"/>
      <w:lvlText w:val="[*]"/>
      <w:numFmt w:val="bullet"/>
      <w:start w:val="1"/>
    </w:lvl>
  </w:abstractNum>
  <w:abstractNum w:abstractNumId="474">
    <w:nsid w:val="7BDD6690"/>
    <w:multiLevelType w:val="hybridMultilevel"/>
    <w:lvl w:ilvl="0">
      <w:lvlJc w:val="left"/>
      <w:lvlText w:val="[*]"/>
      <w:numFmt w:val="bullet"/>
      <w:start w:val="1"/>
    </w:lvl>
  </w:abstractNum>
  <w:abstractNum w:abstractNumId="475">
    <w:nsid w:val="DFB5C5B"/>
    <w:multiLevelType w:val="hybridMultilevel"/>
    <w:lvl w:ilvl="0">
      <w:lvlJc w:val="left"/>
      <w:lvlText w:val="[*]"/>
      <w:numFmt w:val="bullet"/>
      <w:start w:val="1"/>
    </w:lvl>
  </w:abstractNum>
  <w:abstractNum w:abstractNumId="476">
    <w:nsid w:val="6F3E5490"/>
    <w:multiLevelType w:val="hybridMultilevel"/>
    <w:lvl w:ilvl="0">
      <w:lvlJc w:val="left"/>
      <w:lvlText w:val="%1."/>
      <w:numFmt w:val="decimal"/>
      <w:start w:val="2"/>
    </w:lvl>
  </w:abstractNum>
  <w:abstractNum w:abstractNumId="477">
    <w:nsid w:val="1464BE1E"/>
    <w:multiLevelType w:val="hybridMultilevel"/>
    <w:lvl w:ilvl="0">
      <w:lvlJc w:val="left"/>
      <w:lvlText w:val="[*]"/>
      <w:numFmt w:val="bullet"/>
      <w:start w:val="1"/>
    </w:lvl>
  </w:abstractNum>
  <w:abstractNum w:abstractNumId="478">
    <w:nsid w:val="66BBB7E5"/>
    <w:multiLevelType w:val="hybridMultilevel"/>
    <w:lvl w:ilvl="0">
      <w:lvlJc w:val="left"/>
      <w:lvlText w:val="(%1)"/>
      <w:numFmt w:val="lowerLetter"/>
      <w:start w:val="1"/>
    </w:lvl>
  </w:abstractNum>
  <w:abstractNum w:abstractNumId="479">
    <w:nsid w:val="28168302"/>
    <w:multiLevelType w:val="hybridMultilevel"/>
    <w:lvl w:ilvl="0">
      <w:lvlJc w:val="left"/>
      <w:lvlText w:val="[*]"/>
      <w:numFmt w:val="bullet"/>
      <w:start w:val="1"/>
    </w:lvl>
  </w:abstractNum>
  <w:abstractNum w:abstractNumId="480">
    <w:nsid w:val="32A5C7A8"/>
    <w:multiLevelType w:val="hybridMultilevel"/>
    <w:lvl w:ilvl="0">
      <w:lvlJc w:val="left"/>
      <w:lvlText w:val="%1."/>
      <w:numFmt w:val="decimal"/>
      <w:start w:val="3"/>
    </w:lvl>
  </w:abstractNum>
  <w:abstractNum w:abstractNumId="481">
    <w:nsid w:val="3A541011"/>
    <w:multiLevelType w:val="hybridMultilevel"/>
    <w:lvl w:ilvl="0">
      <w:lvlJc w:val="left"/>
      <w:lvlText w:val="%1."/>
      <w:numFmt w:val="decimal"/>
      <w:start w:val="4"/>
    </w:lvl>
  </w:abstractNum>
  <w:abstractNum w:abstractNumId="482">
    <w:nsid w:val="4423C777"/>
    <w:multiLevelType w:val="hybridMultilevel"/>
    <w:lvl w:ilvl="0">
      <w:lvlJc w:val="left"/>
      <w:lvlText w:val="[*]"/>
      <w:numFmt w:val="bullet"/>
      <w:start w:val="1"/>
    </w:lvl>
  </w:abstractNum>
  <w:abstractNum w:abstractNumId="483">
    <w:nsid w:val="5F5C6E4D"/>
    <w:multiLevelType w:val="hybridMultilevel"/>
    <w:lvl w:ilvl="0">
      <w:lvlJc w:val="left"/>
      <w:lvlText w:val="%1."/>
      <w:numFmt w:val="decimal"/>
      <w:start w:val="5"/>
    </w:lvl>
    <w:lvl w:ilvl="1">
      <w:lvlJc w:val="left"/>
      <w:lvlText w:val="(%2)"/>
      <w:numFmt w:val="lowerLetter"/>
      <w:start w:val="1"/>
    </w:lvl>
  </w:abstractNum>
  <w:abstractNum w:abstractNumId="484">
    <w:nsid w:val="7C2A56CD"/>
    <w:multiLevelType w:val="hybridMultilevel"/>
    <w:lvl w:ilvl="0">
      <w:lvlJc w:val="left"/>
      <w:lvlText w:val="[*]"/>
      <w:numFmt w:val="bullet"/>
      <w:start w:val="1"/>
    </w:lvl>
  </w:abstractNum>
  <w:abstractNum w:abstractNumId="485">
    <w:nsid w:val="7AB86EE1"/>
    <w:multiLevelType w:val="hybridMultilevel"/>
    <w:lvl w:ilvl="0">
      <w:lvlJc w:val="left"/>
      <w:lvlText w:val="%1."/>
      <w:numFmt w:val="decimal"/>
      <w:start w:val="7"/>
    </w:lvl>
  </w:abstractNum>
  <w:abstractNum w:abstractNumId="486">
    <w:nsid w:val="B54E53B"/>
    <w:multiLevelType w:val="hybridMultilevel"/>
    <w:lvl w:ilvl="0">
      <w:lvlJc w:val="left"/>
      <w:lvlText w:val="[*]"/>
      <w:numFmt w:val="bullet"/>
      <w:start w:val="1"/>
    </w:lvl>
  </w:abstractNum>
  <w:abstractNum w:abstractNumId="487">
    <w:nsid w:val="2A00487"/>
    <w:multiLevelType w:val="hybridMultilevel"/>
    <w:lvl w:ilvl="0">
      <w:lvlJc w:val="left"/>
      <w:lvlText w:val="[*]"/>
      <w:numFmt w:val="bullet"/>
      <w:start w:val="1"/>
    </w:lvl>
  </w:abstractNum>
  <w:abstractNum w:abstractNumId="488">
    <w:nsid w:val="6CB1B60"/>
    <w:multiLevelType w:val="hybridMultilevel"/>
    <w:lvl w:ilvl="0">
      <w:lvlJc w:val="left"/>
      <w:lvlText w:val="%1."/>
      <w:numFmt w:val="decimal"/>
      <w:start w:val="8"/>
    </w:lvl>
  </w:abstractNum>
  <w:abstractNum w:abstractNumId="489">
    <w:nsid w:val="72EDD574"/>
    <w:multiLevelType w:val="hybridMultilevel"/>
    <w:lvl w:ilvl="0">
      <w:lvlJc w:val="left"/>
      <w:lvlText w:val="[*]"/>
      <w:numFmt w:val="bullet"/>
      <w:start w:val="1"/>
    </w:lvl>
  </w:abstractNum>
  <w:abstractNum w:abstractNumId="490">
    <w:nsid w:val="7323808A"/>
    <w:multiLevelType w:val="hybridMultilevel"/>
    <w:lvl w:ilvl="0">
      <w:lvlJc w:val="left"/>
      <w:lvlText w:val="[*]"/>
      <w:numFmt w:val="bullet"/>
      <w:start w:val="1"/>
    </w:lvl>
  </w:abstractNum>
  <w:abstractNum w:abstractNumId="491">
    <w:nsid w:val="5157276"/>
    <w:multiLevelType w:val="hybridMultilevel"/>
    <w:lvl w:ilvl="0">
      <w:lvlJc w:val="left"/>
      <w:lvlText w:val="%1."/>
      <w:numFmt w:val="decimal"/>
      <w:start w:val="9"/>
    </w:lvl>
  </w:abstractNum>
  <w:abstractNum w:abstractNumId="492">
    <w:nsid w:val="35A681DB"/>
    <w:multiLevelType w:val="hybridMultilevel"/>
    <w:lvl w:ilvl="0">
      <w:lvlJc w:val="left"/>
      <w:lvlText w:val="[*]"/>
      <w:numFmt w:val="bullet"/>
      <w:start w:val="1"/>
    </w:lvl>
  </w:abstractNum>
  <w:abstractNum w:abstractNumId="493">
    <w:nsid w:val="1786C974"/>
    <w:multiLevelType w:val="hybridMultilevel"/>
    <w:lvl w:ilvl="0">
      <w:lvlJc w:val="left"/>
      <w:lvlText w:val="[*]"/>
      <w:numFmt w:val="bullet"/>
      <w:start w:val="1"/>
    </w:lvl>
  </w:abstractNum>
  <w:abstractNum w:abstractNumId="494">
    <w:nsid w:val="1C2427A1"/>
    <w:multiLevelType w:val="hybridMultilevel"/>
    <w:lvl w:ilvl="0">
      <w:lvlJc w:val="left"/>
      <w:lvlText w:val="%1."/>
      <w:numFmt w:val="decimal"/>
      <w:start w:val="11"/>
    </w:lvl>
  </w:abstractNum>
  <w:abstractNum w:abstractNumId="495">
    <w:nsid w:val="63A24D68"/>
    <w:multiLevelType w:val="hybridMultilevel"/>
    <w:lvl w:ilvl="0">
      <w:lvlJc w:val="left"/>
      <w:lvlText w:val="[*]"/>
      <w:numFmt w:val="bullet"/>
      <w:start w:val="1"/>
    </w:lvl>
  </w:abstractNum>
  <w:abstractNum w:abstractNumId="496">
    <w:nsid w:val="4FB7A02A"/>
    <w:multiLevelType w:val="hybridMultilevel"/>
    <w:lvl w:ilvl="0">
      <w:lvlJc w:val="left"/>
      <w:lvlText w:val="%1."/>
      <w:numFmt w:val="decimal"/>
      <w:start w:val="12"/>
    </w:lvl>
  </w:abstractNum>
  <w:abstractNum w:abstractNumId="497">
    <w:nsid w:val="96CF728"/>
    <w:multiLevelType w:val="hybridMultilevel"/>
    <w:lvl w:ilvl="0">
      <w:lvlJc w:val="left"/>
      <w:lvlText w:val="[*]"/>
      <w:numFmt w:val="bullet"/>
      <w:start w:val="1"/>
    </w:lvl>
  </w:abstractNum>
  <w:abstractNum w:abstractNumId="498">
    <w:nsid w:val="3B121183"/>
    <w:multiLevelType w:val="hybridMultilevel"/>
    <w:lvl w:ilvl="0">
      <w:lvlJc w:val="left"/>
      <w:lvlText w:val="[*]"/>
      <w:numFmt w:val="bullet"/>
      <w:start w:val="1"/>
    </w:lvl>
  </w:abstractNum>
  <w:abstractNum w:abstractNumId="499">
    <w:nsid w:val="3459648F"/>
    <w:multiLevelType w:val="hybridMultilevel"/>
    <w:lvl w:ilvl="0">
      <w:lvlJc w:val="left"/>
      <w:lvlText w:val="%1."/>
      <w:numFmt w:val="decimal"/>
      <w:start w:val="13"/>
    </w:lvl>
  </w:abstractNum>
  <w:abstractNum w:abstractNumId="500">
    <w:nsid w:val="3ADF331D"/>
    <w:multiLevelType w:val="hybridMultilevel"/>
    <w:lvl w:ilvl="0">
      <w:lvlJc w:val="left"/>
      <w:lvlText w:val="[*]"/>
      <w:numFmt w:val="bullet"/>
      <w:start w:val="1"/>
    </w:lvl>
  </w:abstractNum>
  <w:abstractNum w:abstractNumId="501">
    <w:nsid w:val="4D08A9E4"/>
    <w:multiLevelType w:val="hybridMultilevel"/>
    <w:lvl w:ilvl="0">
      <w:lvlJc w:val="left"/>
      <w:lvlText w:val="%1."/>
      <w:numFmt w:val="decimal"/>
      <w:start w:val="14"/>
    </w:lvl>
  </w:abstractNum>
  <w:abstractNum w:abstractNumId="502">
    <w:nsid w:val="6AF2BB3A"/>
    <w:multiLevelType w:val="hybridMultilevel"/>
    <w:lvl w:ilvl="0">
      <w:lvlJc w:val="left"/>
      <w:lvlText w:val="[*]"/>
      <w:numFmt w:val="bullet"/>
      <w:start w:val="1"/>
    </w:lvl>
  </w:abstractNum>
  <w:abstractNum w:abstractNumId="503">
    <w:nsid w:val="481B1739"/>
    <w:multiLevelType w:val="hybridMultilevel"/>
    <w:lvl w:ilvl="0">
      <w:lvlJc w:val="left"/>
      <w:lvlText w:val="(%1)"/>
      <w:numFmt w:val="lowerLetter"/>
      <w:start w:val="1"/>
    </w:lvl>
  </w:abstractNum>
  <w:abstractNum w:abstractNumId="504">
    <w:nsid w:val="19E2BFCC"/>
    <w:multiLevelType w:val="hybridMultilevel"/>
    <w:lvl w:ilvl="0">
      <w:lvlJc w:val="left"/>
      <w:lvlText w:val="[*]"/>
      <w:numFmt w:val="bullet"/>
      <w:start w:val="1"/>
    </w:lvl>
    <w:lvl w:ilvl="1">
      <w:lvlJc w:val="left"/>
      <w:lvlText w:val="(%2)"/>
      <w:numFmt w:val="lowerRoman"/>
      <w:start w:val="3"/>
    </w:lvl>
  </w:abstractNum>
  <w:abstractNum w:abstractNumId="505">
    <w:nsid w:val="66D021CA"/>
    <w:multiLevelType w:val="hybridMultilevel"/>
    <w:lvl w:ilvl="0">
      <w:lvlJc w:val="left"/>
      <w:lvlText w:val="%1."/>
      <w:numFmt w:val="decimal"/>
      <w:start w:val="15"/>
    </w:lvl>
  </w:abstractNum>
  <w:abstractNum w:abstractNumId="506">
    <w:nsid w:val="56167394"/>
    <w:multiLevelType w:val="hybridMultilevel"/>
    <w:lvl w:ilvl="0">
      <w:lvlJc w:val="left"/>
      <w:lvlText w:val="[*]"/>
      <w:numFmt w:val="bullet"/>
      <w:start w:val="1"/>
    </w:lvl>
  </w:abstractNum>
  <w:abstractNum w:abstractNumId="507">
    <w:nsid w:val="921145C"/>
    <w:multiLevelType w:val="hybridMultilevel"/>
    <w:lvl w:ilvl="0">
      <w:lvlJc w:val="left"/>
      <w:lvlText w:val="[*]"/>
      <w:numFmt w:val="bullet"/>
      <w:start w:val="1"/>
    </w:lvl>
  </w:abstractNum>
  <w:abstractNum w:abstractNumId="508">
    <w:nsid w:val="7B34DFE8"/>
    <w:multiLevelType w:val="hybridMultilevel"/>
    <w:lvl w:ilvl="0">
      <w:lvlJc w:val="left"/>
      <w:lvlText w:val="[*]"/>
      <w:numFmt w:val="bullet"/>
      <w:start w:val="1"/>
    </w:lvl>
  </w:abstractNum>
  <w:abstractNum w:abstractNumId="509">
    <w:nsid w:val="3CD22B79"/>
    <w:multiLevelType w:val="hybridMultilevel"/>
    <w:lvl w:ilvl="0">
      <w:lvlJc w:val="left"/>
      <w:lvlText w:val="[*]"/>
      <w:numFmt w:val="bullet"/>
      <w:start w:val="1"/>
    </w:lvl>
  </w:abstractNum>
  <w:abstractNum w:abstractNumId="510">
    <w:nsid w:val="3137975E"/>
    <w:multiLevelType w:val="hybridMultilevel"/>
    <w:lvl w:ilvl="0">
      <w:lvlJc w:val="left"/>
      <w:lvlText w:val="[*]"/>
      <w:numFmt w:val="bullet"/>
      <w:start w:val="1"/>
    </w:lvl>
  </w:abstractNum>
  <w:abstractNum w:abstractNumId="511">
    <w:nsid w:val="2DDAA791"/>
    <w:multiLevelType w:val="hybridMultilevel"/>
    <w:lvl w:ilvl="0">
      <w:lvlJc w:val="left"/>
      <w:lvlText w:val="%1)"/>
      <w:numFmt w:val="upperLetter"/>
      <w:start w:val="9"/>
    </w:lvl>
  </w:abstractNum>
  <w:abstractNum w:abstractNumId="512">
    <w:nsid w:val="77263B8A"/>
    <w:multiLevelType w:val="hybridMultilevel"/>
    <w:lvl w:ilvl="0">
      <w:lvlJc w:val="left"/>
      <w:lvlText w:val="%1)"/>
      <w:numFmt w:val="upperLetter"/>
      <w:start w:val="35"/>
    </w:lvl>
  </w:abstractNum>
  <w:abstractNum w:abstractNumId="513">
    <w:nsid w:val="755B5ED6"/>
    <w:multiLevelType w:val="hybridMultilevel"/>
    <w:lvl w:ilvl="0">
      <w:lvlJc w:val="left"/>
      <w:lvlText w:val="[*]"/>
      <w:numFmt w:val="bullet"/>
      <w:start w:val="1"/>
    </w:lvl>
  </w:abstractNum>
  <w:abstractNum w:abstractNumId="514">
    <w:nsid w:val="D3715DE"/>
    <w:multiLevelType w:val="hybridMultilevel"/>
    <w:lvl w:ilvl="0">
      <w:lvlJc w:val="left"/>
      <w:lvlText w:val="[*]"/>
      <w:numFmt w:val="bullet"/>
      <w:start w:val="1"/>
    </w:lvl>
  </w:abstractNum>
  <w:abstractNum w:abstractNumId="515">
    <w:nsid w:val="73509257"/>
    <w:multiLevelType w:val="hybridMultilevel"/>
    <w:lvl w:ilvl="0">
      <w:lvlJc w:val="left"/>
      <w:lvlText w:val="[*]"/>
      <w:numFmt w:val="bullet"/>
      <w:start w:val="1"/>
    </w:lvl>
  </w:abstractNum>
  <w:abstractNum w:abstractNumId="516">
    <w:nsid w:val="7013CDB7"/>
    <w:multiLevelType w:val="hybridMultilevel"/>
    <w:lvl w:ilvl="0">
      <w:lvlJc w:val="left"/>
      <w:lvlText w:val="[*]"/>
      <w:numFmt w:val="bullet"/>
      <w:start w:val="1"/>
    </w:lvl>
  </w:abstractNum>
  <w:abstractNum w:abstractNumId="517">
    <w:nsid w:val="188BFB19"/>
    <w:multiLevelType w:val="hybridMultilevel"/>
    <w:lvl w:ilvl="0">
      <w:lvlJc w:val="left"/>
      <w:lvlText w:val="[*]"/>
      <w:numFmt w:val="bullet"/>
      <w:start w:val="1"/>
    </w:lvl>
  </w:abstractNum>
  <w:abstractNum w:abstractNumId="518">
    <w:nsid w:val="75F096DF"/>
    <w:multiLevelType w:val="hybridMultilevel"/>
    <w:lvl w:ilvl="0">
      <w:lvlJc w:val="left"/>
      <w:lvlText w:val="[*]"/>
      <w:numFmt w:val="bullet"/>
      <w:start w:val="1"/>
    </w:lvl>
  </w:abstractNum>
  <w:abstractNum w:abstractNumId="519">
    <w:nsid w:val="76DEE918"/>
    <w:multiLevelType w:val="hybridMultilevel"/>
    <w:lvl w:ilvl="0">
      <w:lvlJc w:val="left"/>
      <w:lvlText w:val="1"/>
      <w:numFmt w:val="bullet"/>
      <w:start w:val="1"/>
    </w:lvl>
  </w:abstractNum>
  <w:abstractNum w:abstractNumId="520">
    <w:nsid w:val="B79D08D"/>
    <w:multiLevelType w:val="hybridMultilevel"/>
    <w:lvl w:ilvl="0">
      <w:lvlJc w:val="left"/>
      <w:lvlText w:val="[*]"/>
      <w:numFmt w:val="bullet"/>
      <w:start w:val="1"/>
    </w:lvl>
  </w:abstractNum>
  <w:abstractNum w:abstractNumId="521">
    <w:nsid w:val="69141769"/>
    <w:multiLevelType w:val="hybridMultilevel"/>
    <w:lvl w:ilvl="0">
      <w:lvlJc w:val="left"/>
      <w:lvlText w:val="[*]"/>
      <w:numFmt w:val="bullet"/>
      <w:start w:val="1"/>
    </w:lvl>
  </w:abstractNum>
  <w:abstractNum w:abstractNumId="522">
    <w:nsid w:val="7BF45B8E"/>
    <w:multiLevelType w:val="hybridMultilevel"/>
    <w:lvl w:ilvl="0">
      <w:lvlJc w:val="left"/>
      <w:lvlText w:val="[*]"/>
      <w:numFmt w:val="bullet"/>
      <w:start w:val="1"/>
    </w:lvl>
  </w:abstractNum>
  <w:abstractNum w:abstractNumId="523">
    <w:nsid w:val="41205269"/>
    <w:multiLevelType w:val="hybridMultilevel"/>
    <w:lvl w:ilvl="0">
      <w:lvlJc w:val="left"/>
      <w:lvlText w:val="[*]"/>
      <w:numFmt w:val="bullet"/>
      <w:start w:val="1"/>
    </w:lvl>
  </w:abstractNum>
  <w:abstractNum w:abstractNumId="524">
    <w:nsid w:val="9AE0DD"/>
    <w:multiLevelType w:val="hybridMultilevel"/>
    <w:lvl w:ilvl="0">
      <w:lvlJc w:val="left"/>
      <w:lvlText w:val="[*]"/>
      <w:numFmt w:val="bullet"/>
      <w:start w:val="1"/>
    </w:lvl>
  </w:abstractNum>
  <w:abstractNum w:abstractNumId="525">
    <w:nsid w:val="1818832F"/>
    <w:multiLevelType w:val="hybridMultilevel"/>
    <w:lvl w:ilvl="0">
      <w:lvlJc w:val="left"/>
      <w:lvlText w:val="2"/>
      <w:numFmt w:val="bullet"/>
      <w:start w:val="1"/>
    </w:lvl>
  </w:abstractNum>
  <w:abstractNum w:abstractNumId="526">
    <w:nsid w:val="24C29FD1"/>
    <w:multiLevelType w:val="hybridMultilevel"/>
    <w:lvl w:ilvl="0">
      <w:lvlJc w:val="left"/>
      <w:lvlText w:val="[*]"/>
      <w:numFmt w:val="bullet"/>
      <w:start w:val="1"/>
    </w:lvl>
  </w:abstractNum>
  <w:abstractNum w:abstractNumId="527">
    <w:nsid w:val="50528108"/>
    <w:multiLevelType w:val="hybridMultilevel"/>
    <w:lvl w:ilvl="0">
      <w:lvlJc w:val="left"/>
      <w:lvlText w:val="[*]"/>
      <w:numFmt w:val="bullet"/>
      <w:start w:val="1"/>
    </w:lvl>
  </w:abstractNum>
  <w:abstractNum w:abstractNumId="528">
    <w:nsid w:val="21857A57"/>
    <w:multiLevelType w:val="hybridMultilevel"/>
    <w:lvl w:ilvl="0">
      <w:lvlJc w:val="left"/>
      <w:lvlText w:val="[*]"/>
      <w:numFmt w:val="bullet"/>
      <w:start w:val="1"/>
    </w:lvl>
  </w:abstractNum>
  <w:abstractNum w:abstractNumId="529">
    <w:nsid w:val="5FD4B154"/>
    <w:multiLevelType w:val="hybridMultilevel"/>
    <w:lvl w:ilvl="0">
      <w:lvlJc w:val="left"/>
      <w:lvlText w:val="3"/>
      <w:numFmt w:val="bullet"/>
      <w:start w:val="1"/>
    </w:lvl>
  </w:abstractNum>
  <w:abstractNum w:abstractNumId="530">
    <w:nsid w:val="4ABE597"/>
    <w:multiLevelType w:val="hybridMultilevel"/>
    <w:lvl w:ilvl="0">
      <w:lvlJc w:val="left"/>
      <w:lvlText w:val="[*]"/>
      <w:numFmt w:val="bullet"/>
      <w:start w:val="1"/>
    </w:lvl>
  </w:abstractNum>
  <w:abstractNum w:abstractNumId="531">
    <w:nsid w:val="5C64AD75"/>
    <w:multiLevelType w:val="hybridMultilevel"/>
    <w:lvl w:ilvl="0">
      <w:lvlJc w:val="left"/>
      <w:lvlText w:val="4"/>
      <w:numFmt w:val="bullet"/>
      <w:start w:val="1"/>
    </w:lvl>
  </w:abstractNum>
  <w:abstractNum w:abstractNumId="532">
    <w:nsid w:val="2CDD5B39"/>
    <w:multiLevelType w:val="hybridMultilevel"/>
    <w:lvl w:ilvl="0">
      <w:lvlJc w:val="left"/>
      <w:lvlText w:val="5"/>
      <w:numFmt w:val="bullet"/>
      <w:start w:val="1"/>
    </w:lvl>
  </w:abstractNum>
  <w:abstractNum w:abstractNumId="533">
    <w:nsid w:val="6F9EA0D1"/>
    <w:multiLevelType w:val="hybridMultilevel"/>
    <w:lvl w:ilvl="0">
      <w:lvlJc w:val="left"/>
      <w:lvlText w:val="6"/>
      <w:numFmt w:val="bullet"/>
      <w:start w:val="1"/>
    </w:lvl>
  </w:abstractNum>
  <w:abstractNum w:abstractNumId="534">
    <w:nsid w:val="247FC4AE"/>
    <w:multiLevelType w:val="hybridMultilevel"/>
    <w:lvl w:ilvl="0">
      <w:lvlJc w:val="left"/>
      <w:lvlText w:val="[*]"/>
      <w:numFmt w:val="bullet"/>
      <w:start w:val="1"/>
    </w:lvl>
  </w:abstractNum>
  <w:abstractNum w:abstractNumId="535">
    <w:nsid w:val="46C01B05"/>
    <w:multiLevelType w:val="hybridMultilevel"/>
    <w:lvl w:ilvl="0">
      <w:lvlJc w:val="left"/>
      <w:lvlText w:val="[*]"/>
      <w:numFmt w:val="bullet"/>
      <w:start w:val="1"/>
    </w:lvl>
  </w:abstractNum>
  <w:abstractNum w:abstractNumId="536">
    <w:nsid w:val="566EC29B"/>
    <w:multiLevelType w:val="hybridMultilevel"/>
    <w:lvl w:ilvl="0">
      <w:lvlJc w:val="left"/>
      <w:lvlText w:val="7"/>
      <w:numFmt w:val="bullet"/>
      <w:start w:val="1"/>
    </w:lvl>
  </w:abstractNum>
  <w:abstractNum w:abstractNumId="537">
    <w:nsid w:val="7A963843"/>
    <w:multiLevelType w:val="hybridMultilevel"/>
    <w:lvl w:ilvl="0">
      <w:lvlJc w:val="left"/>
      <w:lvlText w:val="[*]"/>
      <w:numFmt w:val="bullet"/>
      <w:start w:val="1"/>
    </w:lvl>
  </w:abstractNum>
  <w:abstractNum w:abstractNumId="538">
    <w:nsid w:val="4FE12F61"/>
    <w:multiLevelType w:val="hybridMultilevel"/>
    <w:lvl w:ilvl="0">
      <w:lvlJc w:val="left"/>
      <w:lvlText w:val="[*]"/>
      <w:numFmt w:val="bullet"/>
      <w:start w:val="1"/>
    </w:lvl>
  </w:abstractNum>
  <w:abstractNum w:abstractNumId="539">
    <w:nsid w:val="51A3A284"/>
    <w:multiLevelType w:val="hybridMultilevel"/>
    <w:lvl w:ilvl="0">
      <w:lvlJc w:val="left"/>
      <w:lvlText w:val="8"/>
      <w:numFmt w:val="bullet"/>
      <w:start w:val="1"/>
    </w:lvl>
  </w:abstractNum>
  <w:abstractNum w:abstractNumId="540">
    <w:nsid w:val="376863BC"/>
    <w:multiLevelType w:val="hybridMultilevel"/>
    <w:lvl w:ilvl="0">
      <w:lvlJc w:val="left"/>
      <w:lvlText w:val="[*]"/>
      <w:numFmt w:val="bullet"/>
      <w:start w:val="1"/>
    </w:lvl>
  </w:abstractNum>
  <w:abstractNum w:abstractNumId="541">
    <w:nsid w:val="118C6C0"/>
    <w:multiLevelType w:val="hybridMultilevel"/>
    <w:lvl w:ilvl="0">
      <w:lvlJc w:val="left"/>
      <w:lvlText w:val="9"/>
      <w:numFmt w:val="bullet"/>
      <w:start w:val="1"/>
    </w:lvl>
  </w:abstractNum>
  <w:abstractNum w:abstractNumId="542">
    <w:nsid w:val="7F7E4A15"/>
    <w:multiLevelType w:val="hybridMultilevel"/>
    <w:lvl w:ilvl="0">
      <w:lvlJc w:val="left"/>
      <w:lvlText w:val="[*]"/>
      <w:numFmt w:val="bullet"/>
      <w:start w:val="1"/>
    </w:lvl>
  </w:abstractNum>
  <w:abstractNum w:abstractNumId="543">
    <w:nsid w:val="2E8E9F47"/>
    <w:multiLevelType w:val="hybridMultilevel"/>
    <w:lvl w:ilvl="0">
      <w:lvlJc w:val="left"/>
      <w:lvlText w:val="[*]"/>
      <w:numFmt w:val="bullet"/>
      <w:start w:val="1"/>
    </w:lvl>
  </w:abstractNum>
  <w:abstractNum w:abstractNumId="544">
    <w:nsid w:val="76742596"/>
    <w:multiLevelType w:val="hybridMultilevel"/>
    <w:lvl w:ilvl="0">
      <w:lvlJc w:val="left"/>
      <w:lvlText w:val="[*]"/>
      <w:numFmt w:val="bullet"/>
      <w:start w:val="1"/>
    </w:lvl>
  </w:abstractNum>
  <w:abstractNum w:abstractNumId="545">
    <w:nsid w:val="CB55FF3"/>
    <w:multiLevelType w:val="hybridMultilevel"/>
    <w:lvl w:ilvl="0">
      <w:lvlJc w:val="left"/>
      <w:lvlText w:val="[*]"/>
      <w:numFmt w:val="bullet"/>
      <w:start w:val="1"/>
    </w:lvl>
  </w:abstractNum>
  <w:abstractNum w:abstractNumId="546">
    <w:nsid w:val="21DF319E"/>
    <w:multiLevelType w:val="hybridMultilevel"/>
    <w:lvl w:ilvl="0">
      <w:lvlJc w:val="left"/>
      <w:lvlText w:val="[*]"/>
      <w:numFmt w:val="bullet"/>
      <w:start w:val="1"/>
    </w:lvl>
  </w:abstractNum>
  <w:abstractNum w:abstractNumId="547">
    <w:nsid w:val="6687F34D"/>
    <w:multiLevelType w:val="hybridMultilevel"/>
    <w:lvl w:ilvl="0">
      <w:lvlJc w:val="left"/>
      <w:lvlText w:val="[*]"/>
      <w:numFmt w:val="bullet"/>
      <w:start w:val="1"/>
    </w:lvl>
  </w:abstractNum>
  <w:abstractNum w:abstractNumId="548">
    <w:nsid w:val="25415B0C"/>
    <w:multiLevelType w:val="hybridMultilevel"/>
    <w:lvl w:ilvl="0">
      <w:lvlJc w:val="left"/>
      <w:lvlText w:val="[*]"/>
      <w:numFmt w:val="bullet"/>
      <w:start w:val="1"/>
    </w:lvl>
  </w:abstractNum>
  <w:abstractNum w:abstractNumId="549">
    <w:nsid w:val="17CFC87D"/>
    <w:multiLevelType w:val="hybridMultilevel"/>
    <w:lvl w:ilvl="0">
      <w:lvlJc w:val="left"/>
      <w:lvlText w:val="(%1)"/>
      <w:numFmt w:val="decimal"/>
      <w:start w:val="1"/>
    </w:lvl>
  </w:abstractNum>
  <w:abstractNum w:abstractNumId="550">
    <w:nsid w:val="5D66DC65"/>
    <w:multiLevelType w:val="hybridMultilevel"/>
    <w:lvl w:ilvl="0">
      <w:lvlJc w:val="left"/>
      <w:lvlText w:val="(%1)"/>
      <w:numFmt w:val="lowerLetter"/>
      <w:start w:val="1"/>
    </w:lvl>
  </w:abstractNum>
  <w:abstractNum w:abstractNumId="551">
    <w:nsid w:val="30BB2B99"/>
    <w:multiLevelType w:val="hybridMultilevel"/>
    <w:lvl w:ilvl="0">
      <w:lvlJc w:val="left"/>
      <w:lvlText w:val="[*]"/>
      <w:numFmt w:val="bullet"/>
      <w:start w:val="1"/>
    </w:lvl>
  </w:abstractNum>
  <w:abstractNum w:abstractNumId="552">
    <w:nsid w:val="E3DFE6"/>
    <w:multiLevelType w:val="hybridMultilevel"/>
    <w:lvl w:ilvl="0">
      <w:lvlJc w:val="left"/>
      <w:lvlText w:val="[*]"/>
      <w:numFmt w:val="bullet"/>
      <w:start w:val="1"/>
    </w:lvl>
  </w:abstractNum>
  <w:abstractNum w:abstractNumId="553">
    <w:nsid w:val="595B37F3"/>
    <w:multiLevelType w:val="hybridMultilevel"/>
    <w:lvl w:ilvl="0">
      <w:lvlJc w:val="left"/>
      <w:lvlText w:val="[*]"/>
      <w:numFmt w:val="bullet"/>
      <w:start w:val="1"/>
    </w:lvl>
  </w:abstractNum>
  <w:abstractNum w:abstractNumId="554">
    <w:nsid w:val="71DB7E02"/>
    <w:multiLevelType w:val="hybridMultilevel"/>
    <w:lvl w:ilvl="0">
      <w:lvlJc w:val="left"/>
      <w:lvlText w:val="[*]"/>
      <w:numFmt w:val="bullet"/>
      <w:start w:val="1"/>
    </w:lvl>
  </w:abstractNum>
  <w:abstractNum w:abstractNumId="555">
    <w:nsid w:val="17EC0C4"/>
    <w:multiLevelType w:val="hybridMultilevel"/>
    <w:lvl w:ilvl="0">
      <w:lvlJc w:val="left"/>
      <w:lvlText w:val="[*]"/>
      <w:numFmt w:val="bullet"/>
      <w:start w:val="1"/>
    </w:lvl>
  </w:abstractNum>
  <w:abstractNum w:abstractNumId="556">
    <w:nsid w:val="7173BB22"/>
    <w:multiLevelType w:val="hybridMultilevel"/>
    <w:lvl w:ilvl="0">
      <w:lvlJc w:val="left"/>
      <w:lvlText w:val="[*]"/>
      <w:numFmt w:val="bullet"/>
      <w:start w:val="1"/>
    </w:lvl>
  </w:abstractNum>
  <w:abstractNum w:abstractNumId="557">
    <w:nsid w:val="169E1DD3"/>
    <w:multiLevelType w:val="hybridMultilevel"/>
    <w:lvl w:ilvl="0">
      <w:lvlJc w:val="left"/>
      <w:lvlText w:val="[*]"/>
      <w:numFmt w:val="bullet"/>
      <w:start w:val="1"/>
    </w:lvl>
  </w:abstractNum>
  <w:abstractNum w:abstractNumId="558">
    <w:nsid w:val="51D141CC"/>
    <w:multiLevelType w:val="hybridMultilevel"/>
    <w:lvl w:ilvl="0">
      <w:lvlJc w:val="left"/>
      <w:lvlText w:val="[*]"/>
      <w:numFmt w:val="bullet"/>
      <w:start w:val="1"/>
    </w:lvl>
  </w:abstractNum>
  <w:abstractNum w:abstractNumId="559">
    <w:nsid w:val="12F9357A"/>
    <w:multiLevelType w:val="hybridMultilevel"/>
    <w:lvl w:ilvl="0">
      <w:lvlJc w:val="left"/>
      <w:lvlText w:val="[*]"/>
      <w:numFmt w:val="bullet"/>
      <w:start w:val="1"/>
    </w:lvl>
  </w:abstractNum>
  <w:abstractNum w:abstractNumId="560">
    <w:nsid w:val="7672CF2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71"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jpeg"/><Relationship Id="rId354" Type="http://schemas.openxmlformats.org/officeDocument/2006/relationships/image" Target="media/image334.png"/><Relationship Id="rId355" Type="http://schemas.openxmlformats.org/officeDocument/2006/relationships/image" Target="media/image335.jpe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505" Type="http://schemas.openxmlformats.org/officeDocument/2006/relationships/image" Target="media/image485.png"/><Relationship Id="rId506" Type="http://schemas.openxmlformats.org/officeDocument/2006/relationships/image" Target="media/image486.png"/><Relationship Id="rId507" Type="http://schemas.openxmlformats.org/officeDocument/2006/relationships/image" Target="media/image487.png"/><Relationship Id="rId508" Type="http://schemas.openxmlformats.org/officeDocument/2006/relationships/image" Target="media/image488.png"/><Relationship Id="rId509" Type="http://schemas.openxmlformats.org/officeDocument/2006/relationships/image" Target="media/image489.png"/><Relationship Id="rId510" Type="http://schemas.openxmlformats.org/officeDocument/2006/relationships/image" Target="media/image490.png"/><Relationship Id="rId511" Type="http://schemas.openxmlformats.org/officeDocument/2006/relationships/image" Target="media/image491.png"/><Relationship Id="rId512" Type="http://schemas.openxmlformats.org/officeDocument/2006/relationships/image" Target="media/image492.png"/><Relationship Id="rId513" Type="http://schemas.openxmlformats.org/officeDocument/2006/relationships/image" Target="media/image493.png"/><Relationship Id="rId514" Type="http://schemas.openxmlformats.org/officeDocument/2006/relationships/image" Target="media/image494.png"/><Relationship Id="rId515" Type="http://schemas.openxmlformats.org/officeDocument/2006/relationships/image" Target="media/image495.png"/><Relationship Id="rId516" Type="http://schemas.openxmlformats.org/officeDocument/2006/relationships/image" Target="media/image496.png"/><Relationship Id="rId517" Type="http://schemas.openxmlformats.org/officeDocument/2006/relationships/image" Target="media/image497.png"/><Relationship Id="rId518" Type="http://schemas.openxmlformats.org/officeDocument/2006/relationships/image" Target="media/image498.png"/><Relationship Id="rId519" Type="http://schemas.openxmlformats.org/officeDocument/2006/relationships/image" Target="media/image499.png"/><Relationship Id="rId520" Type="http://schemas.openxmlformats.org/officeDocument/2006/relationships/image" Target="media/image500.png"/><Relationship Id="rId521" Type="http://schemas.openxmlformats.org/officeDocument/2006/relationships/image" Target="media/image501.png"/><Relationship Id="rId522" Type="http://schemas.openxmlformats.org/officeDocument/2006/relationships/image" Target="media/image502.png"/><Relationship Id="rId523" Type="http://schemas.openxmlformats.org/officeDocument/2006/relationships/image" Target="media/image503.png"/><Relationship Id="rId524" Type="http://schemas.openxmlformats.org/officeDocument/2006/relationships/image" Target="media/image504.png"/><Relationship Id="rId525" Type="http://schemas.openxmlformats.org/officeDocument/2006/relationships/image" Target="media/image505.png"/><Relationship Id="rId526" Type="http://schemas.openxmlformats.org/officeDocument/2006/relationships/image" Target="media/image506.png"/><Relationship Id="rId527" Type="http://schemas.openxmlformats.org/officeDocument/2006/relationships/image" Target="media/image507.png"/><Relationship Id="rId528" Type="http://schemas.openxmlformats.org/officeDocument/2006/relationships/image" Target="media/image508.png"/><Relationship Id="rId529" Type="http://schemas.openxmlformats.org/officeDocument/2006/relationships/image" Target="media/image509.png"/><Relationship Id="rId530" Type="http://schemas.openxmlformats.org/officeDocument/2006/relationships/image" Target="media/image510.png"/><Relationship Id="rId531" Type="http://schemas.openxmlformats.org/officeDocument/2006/relationships/image" Target="media/image511.png"/><Relationship Id="rId532" Type="http://schemas.openxmlformats.org/officeDocument/2006/relationships/image" Target="media/image512.jpeg"/><Relationship Id="rId533" Type="http://schemas.openxmlformats.org/officeDocument/2006/relationships/image" Target="media/image513.png"/><Relationship Id="rId534" Type="http://schemas.openxmlformats.org/officeDocument/2006/relationships/image" Target="media/image514.jpeg"/><Relationship Id="rId535" Type="http://schemas.openxmlformats.org/officeDocument/2006/relationships/image" Target="media/image515.png"/><Relationship Id="rId536" Type="http://schemas.openxmlformats.org/officeDocument/2006/relationships/image" Target="media/image516.jpeg"/><Relationship Id="rId537" Type="http://schemas.openxmlformats.org/officeDocument/2006/relationships/image" Target="media/image517.png"/><Relationship Id="rId538" Type="http://schemas.openxmlformats.org/officeDocument/2006/relationships/image" Target="media/image518.jpeg"/><Relationship Id="rId539" Type="http://schemas.openxmlformats.org/officeDocument/2006/relationships/image" Target="media/image519.png"/><Relationship Id="rId540" Type="http://schemas.openxmlformats.org/officeDocument/2006/relationships/image" Target="media/image520.jpeg"/><Relationship Id="rId541" Type="http://schemas.openxmlformats.org/officeDocument/2006/relationships/image" Target="media/image521.png"/><Relationship Id="rId542" Type="http://schemas.openxmlformats.org/officeDocument/2006/relationships/image" Target="media/image522.jpeg"/><Relationship Id="rId543" Type="http://schemas.openxmlformats.org/officeDocument/2006/relationships/image" Target="media/image523.png"/><Relationship Id="rId544" Type="http://schemas.openxmlformats.org/officeDocument/2006/relationships/image" Target="media/image524.jpeg"/><Relationship Id="rId545" Type="http://schemas.openxmlformats.org/officeDocument/2006/relationships/image" Target="media/image525.png"/><Relationship Id="rId546" Type="http://schemas.openxmlformats.org/officeDocument/2006/relationships/image" Target="media/image526.jpeg"/><Relationship Id="rId547" Type="http://schemas.openxmlformats.org/officeDocument/2006/relationships/image" Target="media/image527.png"/><Relationship Id="rId548" Type="http://schemas.openxmlformats.org/officeDocument/2006/relationships/image" Target="media/image528.jpeg"/><Relationship Id="rId549" Type="http://schemas.openxmlformats.org/officeDocument/2006/relationships/image" Target="media/image529.png"/><Relationship Id="rId550" Type="http://schemas.openxmlformats.org/officeDocument/2006/relationships/image" Target="media/image530.jpeg"/><Relationship Id="rId551" Type="http://schemas.openxmlformats.org/officeDocument/2006/relationships/image" Target="media/image531.png"/><Relationship Id="rId552" Type="http://schemas.openxmlformats.org/officeDocument/2006/relationships/image" Target="media/image532.jpeg"/><Relationship Id="rId553" Type="http://schemas.openxmlformats.org/officeDocument/2006/relationships/image" Target="media/image533.png"/><Relationship Id="rId554" Type="http://schemas.openxmlformats.org/officeDocument/2006/relationships/image" Target="media/image534.jpeg"/><Relationship Id="rId555" Type="http://schemas.openxmlformats.org/officeDocument/2006/relationships/image" Target="media/image535.png"/><Relationship Id="rId556" Type="http://schemas.openxmlformats.org/officeDocument/2006/relationships/image" Target="media/image536.jpeg"/><Relationship Id="rId557" Type="http://schemas.openxmlformats.org/officeDocument/2006/relationships/image" Target="media/image537.png"/><Relationship Id="rId558" Type="http://schemas.openxmlformats.org/officeDocument/2006/relationships/image" Target="media/image538.jpeg"/><Relationship Id="rId559" Type="http://schemas.openxmlformats.org/officeDocument/2006/relationships/image" Target="media/image539.png"/><Relationship Id="rId560" Type="http://schemas.openxmlformats.org/officeDocument/2006/relationships/image" Target="media/image540.jpeg"/><Relationship Id="rId561" Type="http://schemas.openxmlformats.org/officeDocument/2006/relationships/image" Target="media/image541.png"/><Relationship Id="rId562" Type="http://schemas.openxmlformats.org/officeDocument/2006/relationships/image" Target="media/image542.jpeg"/><Relationship Id="rId563" Type="http://schemas.openxmlformats.org/officeDocument/2006/relationships/image" Target="media/image543.png"/><Relationship Id="rId564" Type="http://schemas.openxmlformats.org/officeDocument/2006/relationships/image" Target="media/image544.jpeg"/><Relationship Id="rId565" Type="http://schemas.openxmlformats.org/officeDocument/2006/relationships/image" Target="media/image545.png"/><Relationship Id="rId566" Type="http://schemas.openxmlformats.org/officeDocument/2006/relationships/image" Target="media/image546.jpeg"/><Relationship Id="rId567" Type="http://schemas.openxmlformats.org/officeDocument/2006/relationships/image" Target="media/image547.png"/><Relationship Id="rId568" Type="http://schemas.openxmlformats.org/officeDocument/2006/relationships/image" Target="media/image548.jpeg"/><Relationship Id="rId569" Type="http://schemas.openxmlformats.org/officeDocument/2006/relationships/image" Target="media/image549.png"/><Relationship Id="rId570" Type="http://schemas.openxmlformats.org/officeDocument/2006/relationships/image" Target="media/image550.jpeg"/><Relationship Id="rId571" Type="http://schemas.openxmlformats.org/officeDocument/2006/relationships/image" Target="media/image551.png"/><Relationship Id="rId572" Type="http://schemas.openxmlformats.org/officeDocument/2006/relationships/image" Target="media/image552.jpeg"/><Relationship Id="rId573" Type="http://schemas.openxmlformats.org/officeDocument/2006/relationships/image" Target="media/image553.png"/><Relationship Id="rId574" Type="http://schemas.openxmlformats.org/officeDocument/2006/relationships/image" Target="media/image554.jpeg"/><Relationship Id="rId575" Type="http://schemas.openxmlformats.org/officeDocument/2006/relationships/image" Target="media/image555.png"/><Relationship Id="rId576" Type="http://schemas.openxmlformats.org/officeDocument/2006/relationships/image" Target="media/image556.jpeg"/><Relationship Id="rId577" Type="http://schemas.openxmlformats.org/officeDocument/2006/relationships/image" Target="media/image557.png"/><Relationship Id="rId578" Type="http://schemas.openxmlformats.org/officeDocument/2006/relationships/image" Target="media/image558.jpeg"/><Relationship Id="rId579" Type="http://schemas.openxmlformats.org/officeDocument/2006/relationships/image" Target="media/image559.png"/><Relationship Id="rId580" Type="http://schemas.openxmlformats.org/officeDocument/2006/relationships/image" Target="media/image560.jpeg"/><Relationship Id="rId581" Type="http://schemas.openxmlformats.org/officeDocument/2006/relationships/image" Target="media/image561.png"/><Relationship Id="rId582" Type="http://schemas.openxmlformats.org/officeDocument/2006/relationships/image" Target="media/image562.jpeg"/><Relationship Id="rId583" Type="http://schemas.openxmlformats.org/officeDocument/2006/relationships/image" Target="media/image563.png"/><Relationship Id="rId584" Type="http://schemas.openxmlformats.org/officeDocument/2006/relationships/image" Target="media/image564.png"/><Relationship Id="rId585" Type="http://schemas.openxmlformats.org/officeDocument/2006/relationships/image" Target="media/image565.jpeg"/><Relationship Id="rId586" Type="http://schemas.openxmlformats.org/officeDocument/2006/relationships/image" Target="media/image566.png"/><Relationship Id="rId587" Type="http://schemas.openxmlformats.org/officeDocument/2006/relationships/image" Target="media/image567.jpeg"/><Relationship Id="rId588" Type="http://schemas.openxmlformats.org/officeDocument/2006/relationships/image" Target="media/image568.png"/><Relationship Id="rId589" Type="http://schemas.openxmlformats.org/officeDocument/2006/relationships/image" Target="media/image569.jpeg"/><Relationship Id="rId590" Type="http://schemas.openxmlformats.org/officeDocument/2006/relationships/image" Target="media/image570.png"/><Relationship Id="rId591" Type="http://schemas.openxmlformats.org/officeDocument/2006/relationships/image" Target="media/image571.jpeg"/><Relationship Id="rId592" Type="http://schemas.openxmlformats.org/officeDocument/2006/relationships/image" Target="media/image572.png"/><Relationship Id="rId593" Type="http://schemas.openxmlformats.org/officeDocument/2006/relationships/image" Target="media/image573.jpeg"/><Relationship Id="rId594" Type="http://schemas.openxmlformats.org/officeDocument/2006/relationships/image" Target="media/image574.jpeg"/><Relationship Id="rId595" Type="http://schemas.openxmlformats.org/officeDocument/2006/relationships/image" Target="media/image575.png"/><Relationship Id="rId596" Type="http://schemas.openxmlformats.org/officeDocument/2006/relationships/image" Target="media/image576.jpeg"/><Relationship Id="rId597" Type="http://schemas.openxmlformats.org/officeDocument/2006/relationships/image" Target="media/image577.png"/><Relationship Id="rId598" Type="http://schemas.openxmlformats.org/officeDocument/2006/relationships/image" Target="media/image578.jpeg"/><Relationship Id="rId599" Type="http://schemas.openxmlformats.org/officeDocument/2006/relationships/image" Target="media/image579.png"/><Relationship Id="rId600" Type="http://schemas.openxmlformats.org/officeDocument/2006/relationships/image" Target="media/image580.jpeg"/><Relationship Id="rId601" Type="http://schemas.openxmlformats.org/officeDocument/2006/relationships/image" Target="media/image581.png"/><Relationship Id="rId602" Type="http://schemas.openxmlformats.org/officeDocument/2006/relationships/image" Target="media/image582.jpeg"/><Relationship Id="rId603" Type="http://schemas.openxmlformats.org/officeDocument/2006/relationships/image" Target="media/image583.png"/><Relationship Id="rId604" Type="http://schemas.openxmlformats.org/officeDocument/2006/relationships/image" Target="media/image584.jpeg"/><Relationship Id="rId605" Type="http://schemas.openxmlformats.org/officeDocument/2006/relationships/image" Target="media/image585.png"/><Relationship Id="rId606" Type="http://schemas.openxmlformats.org/officeDocument/2006/relationships/image" Target="media/image586.jpeg"/><Relationship Id="rId607" Type="http://schemas.openxmlformats.org/officeDocument/2006/relationships/image" Target="media/image587.png"/><Relationship Id="rId608" Type="http://schemas.openxmlformats.org/officeDocument/2006/relationships/image" Target="media/image588.jpeg"/><Relationship Id="rId609" Type="http://schemas.openxmlformats.org/officeDocument/2006/relationships/image" Target="media/image589.png"/><Relationship Id="rId610" Type="http://schemas.openxmlformats.org/officeDocument/2006/relationships/image" Target="media/image590.jpeg"/><Relationship Id="rId611" Type="http://schemas.openxmlformats.org/officeDocument/2006/relationships/image" Target="media/image591.png"/><Relationship Id="rId612" Type="http://schemas.openxmlformats.org/officeDocument/2006/relationships/image" Target="media/image592.jpeg"/><Relationship Id="rId613" Type="http://schemas.openxmlformats.org/officeDocument/2006/relationships/image" Target="media/image593.png"/><Relationship Id="rId614" Type="http://schemas.openxmlformats.org/officeDocument/2006/relationships/image" Target="media/image594.jpeg"/><Relationship Id="rId615" Type="http://schemas.openxmlformats.org/officeDocument/2006/relationships/image" Target="media/image595.png"/><Relationship Id="rId616" Type="http://schemas.openxmlformats.org/officeDocument/2006/relationships/image" Target="media/image596.jpeg"/><Relationship Id="rId617" Type="http://schemas.openxmlformats.org/officeDocument/2006/relationships/image" Target="media/image597.png"/><Relationship Id="rId618" Type="http://schemas.openxmlformats.org/officeDocument/2006/relationships/image" Target="media/image598.jpeg"/><Relationship Id="rId619" Type="http://schemas.openxmlformats.org/officeDocument/2006/relationships/image" Target="media/image599.png"/><Relationship Id="rId620" Type="http://schemas.openxmlformats.org/officeDocument/2006/relationships/image" Target="media/image600.jpeg"/><Relationship Id="rId621" Type="http://schemas.openxmlformats.org/officeDocument/2006/relationships/image" Target="media/image601.png"/><Relationship Id="rId622" Type="http://schemas.openxmlformats.org/officeDocument/2006/relationships/image" Target="media/image602.jpeg"/><Relationship Id="rId623" Type="http://schemas.openxmlformats.org/officeDocument/2006/relationships/image" Target="media/image603.png"/><Relationship Id="rId624" Type="http://schemas.openxmlformats.org/officeDocument/2006/relationships/image" Target="media/image604.jpeg"/><Relationship Id="rId625" Type="http://schemas.openxmlformats.org/officeDocument/2006/relationships/image" Target="media/image605.png"/><Relationship Id="rId626" Type="http://schemas.openxmlformats.org/officeDocument/2006/relationships/image" Target="media/image606.jpeg"/><Relationship Id="rId627" Type="http://schemas.openxmlformats.org/officeDocument/2006/relationships/image" Target="media/image607.png"/><Relationship Id="rId628" Type="http://schemas.openxmlformats.org/officeDocument/2006/relationships/image" Target="media/image608.jpeg"/><Relationship Id="rId629" Type="http://schemas.openxmlformats.org/officeDocument/2006/relationships/image" Target="media/image609.png"/><Relationship Id="rId630" Type="http://schemas.openxmlformats.org/officeDocument/2006/relationships/image" Target="media/image610.jpeg"/><Relationship Id="rId631" Type="http://schemas.openxmlformats.org/officeDocument/2006/relationships/image" Target="media/image611.png"/><Relationship Id="rId632" Type="http://schemas.openxmlformats.org/officeDocument/2006/relationships/image" Target="media/image612.jpeg"/><Relationship Id="rId633" Type="http://schemas.openxmlformats.org/officeDocument/2006/relationships/image" Target="media/image613.png"/><Relationship Id="rId634" Type="http://schemas.openxmlformats.org/officeDocument/2006/relationships/image" Target="media/image614.jpeg"/><Relationship Id="rId635" Type="http://schemas.openxmlformats.org/officeDocument/2006/relationships/image" Target="media/image615.png"/><Relationship Id="rId636" Type="http://schemas.openxmlformats.org/officeDocument/2006/relationships/image" Target="media/image616.jpeg"/><Relationship Id="rId637" Type="http://schemas.openxmlformats.org/officeDocument/2006/relationships/image" Target="media/image617.png"/><Relationship Id="rId638" Type="http://schemas.openxmlformats.org/officeDocument/2006/relationships/image" Target="media/image618.jpeg"/><Relationship Id="rId639" Type="http://schemas.openxmlformats.org/officeDocument/2006/relationships/image" Target="media/image619.png"/><Relationship Id="rId640" Type="http://schemas.openxmlformats.org/officeDocument/2006/relationships/image" Target="media/image620.jpeg"/><Relationship Id="rId641" Type="http://schemas.openxmlformats.org/officeDocument/2006/relationships/image" Target="media/image621.png"/><Relationship Id="rId642" Type="http://schemas.openxmlformats.org/officeDocument/2006/relationships/image" Target="media/image622.jpeg"/><Relationship Id="rId643" Type="http://schemas.openxmlformats.org/officeDocument/2006/relationships/image" Target="media/image623.png"/><Relationship Id="rId644" Type="http://schemas.openxmlformats.org/officeDocument/2006/relationships/image" Target="media/image624.jpeg"/><Relationship Id="rId645" Type="http://schemas.openxmlformats.org/officeDocument/2006/relationships/image" Target="media/image625.png"/><Relationship Id="rId646" Type="http://schemas.openxmlformats.org/officeDocument/2006/relationships/image" Target="media/image626.jpeg"/><Relationship Id="rId647" Type="http://schemas.openxmlformats.org/officeDocument/2006/relationships/image" Target="media/image627.png"/><Relationship Id="rId648" Type="http://schemas.openxmlformats.org/officeDocument/2006/relationships/image" Target="media/image628.jpeg"/><Relationship Id="rId649" Type="http://schemas.openxmlformats.org/officeDocument/2006/relationships/image" Target="media/image629.png"/><Relationship Id="rId650" Type="http://schemas.openxmlformats.org/officeDocument/2006/relationships/image" Target="media/image630.png"/><Relationship Id="rId651" Type="http://schemas.openxmlformats.org/officeDocument/2006/relationships/image" Target="media/image631.png"/><Relationship Id="rId652" Type="http://schemas.openxmlformats.org/officeDocument/2006/relationships/image" Target="media/image632.png"/><Relationship Id="rId653" Type="http://schemas.openxmlformats.org/officeDocument/2006/relationships/image" Target="media/image633.jpeg"/><Relationship Id="rId654" Type="http://schemas.openxmlformats.org/officeDocument/2006/relationships/image" Target="media/image634.png"/><Relationship Id="rId655" Type="http://schemas.openxmlformats.org/officeDocument/2006/relationships/image" Target="media/image635.jpeg"/><Relationship Id="rId656" Type="http://schemas.openxmlformats.org/officeDocument/2006/relationships/image" Target="media/image636.png"/><Relationship Id="rId657" Type="http://schemas.openxmlformats.org/officeDocument/2006/relationships/image" Target="media/image637.jpeg"/><Relationship Id="rId658" Type="http://schemas.openxmlformats.org/officeDocument/2006/relationships/image" Target="media/image638.png"/><Relationship Id="rId659" Type="http://schemas.openxmlformats.org/officeDocument/2006/relationships/image" Target="media/image639.jpeg"/><Relationship Id="rId660" Type="http://schemas.openxmlformats.org/officeDocument/2006/relationships/image" Target="media/image640.png"/><Relationship Id="rId661" Type="http://schemas.openxmlformats.org/officeDocument/2006/relationships/image" Target="media/image641.jpeg"/><Relationship Id="rId262" Type="http://schemas.openxmlformats.org/officeDocument/2006/relationships/hyperlink" Target="http://www.sec.gov/Archives/edgar/data/0001667633/000119312518181943/d523840dex32.htm" TargetMode="External"/><Relationship Id="rId263" Type="http://schemas.openxmlformats.org/officeDocument/2006/relationships/hyperlink" Target="http://www.sec.gov/Archives/edgar/data/0001667633/000119312518181943/d523840dex33.htm" TargetMode="External"/><Relationship Id="rId264" Type="http://schemas.openxmlformats.org/officeDocument/2006/relationships/hyperlink" Target="http://www.sec.gov/Archives/edgar/data/0001667633/000119312518181943/d523840dex34.htm" TargetMode="External"/><Relationship Id="rId265" Type="http://schemas.openxmlformats.org/officeDocument/2006/relationships/hyperlink" Target="http://www.sec.gov/Archives/edgar/data/0001667633/000119312518181943/d523840dex41.htm" TargetMode="External"/><Relationship Id="rId266" Type="http://schemas.openxmlformats.org/officeDocument/2006/relationships/hyperlink" Target="http://www.sec.gov/Archives/edgar/data/0001667633/000119312518181943/d523840dex101.htm" TargetMode="External"/><Relationship Id="rId267" Type="http://schemas.openxmlformats.org/officeDocument/2006/relationships/hyperlink" Target="http://www.sec.gov/Archives/edgar/data/0001667633/000119312518181943/d523840dex108.htm" TargetMode="External"/><Relationship Id="rId268" Type="http://schemas.openxmlformats.org/officeDocument/2006/relationships/hyperlink" Target="http://www.sec.gov/Archives/edgar/data/0001667633/000119312518181943/d523840dex109.htm" TargetMode="External"/><Relationship Id="rId269" Type="http://schemas.openxmlformats.org/officeDocument/2006/relationships/hyperlink" Target="http://www.sec.gov/Archives/edgar/data/0001667633/000119312518181943/d523840dex1010.htm" TargetMode="External"/><Relationship Id="rId270" Type="http://schemas.openxmlformats.org/officeDocument/2006/relationships/hyperlink" Target="http://www.sec.gov/Archives/edgar/data/0001667633/000119312518181943/d523840dex1011.htm" TargetMode="External"/><Relationship Id="rId272" Type="http://schemas.openxmlformats.org/officeDocument/2006/relationships/hyperlink" Target="http://www.sec.gov/Archives/edgar/data/0001667633/000119312518181943/d523840dex1014.htm" TargetMode="External"/><Relationship Id="rId273" Type="http://schemas.openxmlformats.org/officeDocument/2006/relationships/hyperlink" Target="http://www.sec.gov/Archives/edgar/data/0001667633/000119312518181943/d523840dex1016.htm" TargetMode="External"/><Relationship Id="rId274" Type="http://schemas.openxmlformats.org/officeDocument/2006/relationships/hyperlink" Target="http://www.sec.gov/Archives/edgar/data/0001667633/000119312518181943/d523840dex161.htm" TargetMode="External"/><Relationship Id="rId275" Type="http://schemas.openxmlformats.org/officeDocument/2006/relationships/hyperlink" Target="http://www.sec.gov/Archives/edgar/data/1667633/000119312518181943/d523840ds1.htm#523840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2019-12-08T15:23:52Z</dcterms:created>
  <dcterms:modified xsi:type="dcterms:W3CDTF">2019-12-08T15:23:52Z</dcterms:modified>
</cp:coreProperties>
</file>